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KRISTEN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ITEEN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602.916.5433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kiteen@fennemorelaw.com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KRISTEN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ITEEN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602.916.5433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kiteen@fennemorelaw.com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KRISTEN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ITEEN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Kristen Iteen is an associate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group. She has valuable</w:t>
      </w:r>
      <w:r>
        <w:rPr>
          <w:color w:val="6E6158"/>
          <w:spacing w:val="40"/>
        </w:rPr>
        <w:t> </w:t>
      </w:r>
      <w:r>
        <w:rPr>
          <w:color w:val="6E6158"/>
        </w:rPr>
        <w:t>experience assisting clients with litigation, corporate, and compliance matters.</w:t>
      </w:r>
    </w:p>
    <w:p>
      <w:pPr>
        <w:pStyle w:val="BodyText"/>
        <w:spacing w:line="292" w:lineRule="auto" w:before="186"/>
        <w:ind w:left="104" w:right="689"/>
      </w:pPr>
      <w:r>
        <w:rPr>
          <w:color w:val="6E6158"/>
        </w:rPr>
        <w:t>Kristen received her J.D. from the Sandra Day O’Connor College of Law at Arizona State</w:t>
      </w:r>
      <w:r>
        <w:rPr>
          <w:color w:val="6E6158"/>
          <w:spacing w:val="40"/>
        </w:rPr>
        <w:t> </w:t>
      </w:r>
      <w:r>
        <w:rPr>
          <w:color w:val="6E6158"/>
        </w:rPr>
        <w:t>University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her</w:t>
      </w:r>
      <w:r>
        <w:rPr>
          <w:color w:val="6E6158"/>
          <w:spacing w:val="26"/>
        </w:rPr>
        <w:t> </w:t>
      </w:r>
      <w:r>
        <w:rPr>
          <w:color w:val="6E6158"/>
        </w:rPr>
        <w:t>Bachelor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Arts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Political</w:t>
      </w:r>
      <w:r>
        <w:rPr>
          <w:color w:val="6E6158"/>
          <w:spacing w:val="26"/>
        </w:rPr>
        <w:t> </w:t>
      </w:r>
      <w:r>
        <w:rPr>
          <w:color w:val="6E6158"/>
        </w:rPr>
        <w:t>Science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History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University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9"/>
        <w:ind w:left="104" w:right="413"/>
      </w:pPr>
      <w:r>
        <w:rPr>
          <w:color w:val="6E6158"/>
        </w:rPr>
        <w:t>California, Los Angeles. Prior to joining the firm, Kristen served as a judicial clerk for the Honorable</w:t>
      </w:r>
      <w:r>
        <w:rPr>
          <w:color w:val="6E6158"/>
          <w:spacing w:val="40"/>
        </w:rPr>
        <w:t> </w:t>
      </w:r>
      <w:r>
        <w:rPr>
          <w:color w:val="6E6158"/>
        </w:rPr>
        <w:t>Judge</w:t>
      </w:r>
      <w:r>
        <w:rPr>
          <w:color w:val="6E6158"/>
          <w:spacing w:val="22"/>
        </w:rPr>
        <w:t> </w:t>
      </w:r>
      <w:r>
        <w:rPr>
          <w:color w:val="6E6158"/>
        </w:rPr>
        <w:t>Samuel</w:t>
      </w:r>
      <w:r>
        <w:rPr>
          <w:color w:val="6E6158"/>
          <w:spacing w:val="22"/>
        </w:rPr>
        <w:t> </w:t>
      </w:r>
      <w:r>
        <w:rPr>
          <w:color w:val="6E6158"/>
        </w:rPr>
        <w:t>Thumma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Arizona</w:t>
      </w:r>
      <w:r>
        <w:rPr>
          <w:color w:val="6E6158"/>
          <w:spacing w:val="22"/>
        </w:rPr>
        <w:t> </w:t>
      </w:r>
      <w:r>
        <w:rPr>
          <w:color w:val="6E6158"/>
        </w:rPr>
        <w:t>Court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Appeals,</w:t>
      </w:r>
      <w:r>
        <w:rPr>
          <w:color w:val="6E6158"/>
          <w:spacing w:val="22"/>
        </w:rPr>
        <w:t> </w:t>
      </w:r>
      <w:r>
        <w:rPr>
          <w:color w:val="6E6158"/>
        </w:rPr>
        <w:t>Division</w:t>
      </w:r>
      <w:r>
        <w:rPr>
          <w:color w:val="6E6158"/>
          <w:spacing w:val="22"/>
        </w:rPr>
        <w:t> </w:t>
      </w:r>
      <w:r>
        <w:rPr>
          <w:color w:val="6E6158"/>
        </w:rPr>
        <w:t>One.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also</w:t>
      </w:r>
      <w:r>
        <w:rPr>
          <w:color w:val="6E6158"/>
          <w:spacing w:val="22"/>
        </w:rPr>
        <w:t> </w:t>
      </w:r>
      <w:r>
        <w:rPr>
          <w:color w:val="6E6158"/>
        </w:rPr>
        <w:t>clerked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</w:p>
    <w:p>
      <w:pPr>
        <w:pStyle w:val="BodyText"/>
        <w:spacing w:line="297" w:lineRule="auto" w:before="1"/>
        <w:ind w:left="104" w:right="689"/>
      </w:pPr>
      <w:r>
        <w:rPr>
          <w:color w:val="6E6158"/>
        </w:rPr>
        <w:t>U.S. Senate’s Committee on Health, Education, Labor, and Pensions subcommittee on </w:t>
      </w:r>
      <w:r>
        <w:rPr>
          <w:color w:val="6E6158"/>
        </w:rPr>
        <w:t>Oversight</w:t>
      </w:r>
      <w:r>
        <w:rPr>
          <w:color w:val="6E6158"/>
        </w:rPr>
        <w:t> and</w:t>
      </w:r>
      <w:r>
        <w:rPr>
          <w:color w:val="6E6158"/>
          <w:spacing w:val="32"/>
        </w:rPr>
        <w:t> </w:t>
      </w:r>
      <w:r>
        <w:rPr>
          <w:color w:val="6E6158"/>
        </w:rPr>
        <w:t>Investigations,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well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U.S.</w:t>
      </w:r>
      <w:r>
        <w:rPr>
          <w:color w:val="6E6158"/>
          <w:spacing w:val="32"/>
        </w:rPr>
        <w:t> </w:t>
      </w:r>
      <w:r>
        <w:rPr>
          <w:color w:val="6E6158"/>
        </w:rPr>
        <w:t>House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Representatives’</w:t>
      </w:r>
      <w:r>
        <w:rPr>
          <w:color w:val="6E6158"/>
          <w:spacing w:val="32"/>
        </w:rPr>
        <w:t> </w:t>
      </w:r>
      <w:r>
        <w:rPr>
          <w:color w:val="6E6158"/>
        </w:rPr>
        <w:t>Committee</w:t>
      </w:r>
      <w:r>
        <w:rPr>
          <w:color w:val="6E6158"/>
          <w:spacing w:val="32"/>
        </w:rPr>
        <w:t> </w:t>
      </w:r>
      <w:r>
        <w:rPr>
          <w:color w:val="6E6158"/>
        </w:rPr>
        <w:t>on Oversight/Reform, and the Arizona Secretary of State’s Election Division.</w:t>
      </w:r>
    </w:p>
    <w:p>
      <w:pPr>
        <w:pStyle w:val="BodyText"/>
        <w:spacing w:line="292" w:lineRule="auto" w:before="192"/>
        <w:ind w:left="104" w:right="413"/>
      </w:pPr>
      <w:r>
        <w:rPr>
          <w:color w:val="6E6158"/>
        </w:rPr>
        <w:t>Outside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office,</w:t>
      </w:r>
      <w:r>
        <w:rPr>
          <w:color w:val="6E6158"/>
          <w:spacing w:val="31"/>
        </w:rPr>
        <w:t> </w:t>
      </w:r>
      <w:r>
        <w:rPr>
          <w:color w:val="6E6158"/>
        </w:rPr>
        <w:t>Kristen</w:t>
      </w:r>
      <w:r>
        <w:rPr>
          <w:color w:val="6E6158"/>
          <w:spacing w:val="31"/>
        </w:rPr>
        <w:t> </w:t>
      </w:r>
      <w:r>
        <w:rPr>
          <w:color w:val="6E6158"/>
        </w:rPr>
        <w:t>can</w:t>
      </w:r>
      <w:r>
        <w:rPr>
          <w:color w:val="6E6158"/>
          <w:spacing w:val="31"/>
        </w:rPr>
        <w:t> </w:t>
      </w:r>
      <w:r>
        <w:rPr>
          <w:color w:val="6E6158"/>
        </w:rPr>
        <w:t>be</w:t>
      </w:r>
      <w:r>
        <w:rPr>
          <w:color w:val="6E6158"/>
          <w:spacing w:val="31"/>
        </w:rPr>
        <w:t> </w:t>
      </w:r>
      <w:r>
        <w:rPr>
          <w:color w:val="6E6158"/>
        </w:rPr>
        <w:t>found</w:t>
      </w:r>
      <w:r>
        <w:rPr>
          <w:color w:val="6E6158"/>
          <w:spacing w:val="31"/>
        </w:rPr>
        <w:t> </w:t>
      </w:r>
      <w:r>
        <w:rPr>
          <w:color w:val="6E6158"/>
        </w:rPr>
        <w:t>climbing</w:t>
      </w:r>
      <w:r>
        <w:rPr>
          <w:color w:val="6E6158"/>
          <w:spacing w:val="31"/>
        </w:rPr>
        <w:t> </w:t>
      </w:r>
      <w:r>
        <w:rPr>
          <w:color w:val="6E6158"/>
        </w:rPr>
        <w:t>(she</w:t>
      </w:r>
      <w:r>
        <w:rPr>
          <w:color w:val="6E6158"/>
          <w:spacing w:val="31"/>
        </w:rPr>
        <w:t> </w:t>
      </w:r>
      <w:r>
        <w:rPr>
          <w:color w:val="6E6158"/>
        </w:rPr>
        <w:t>climbed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tallest</w:t>
      </w:r>
      <w:r>
        <w:rPr>
          <w:color w:val="6E6158"/>
          <w:spacing w:val="31"/>
        </w:rPr>
        <w:t> </w:t>
      </w:r>
      <w:r>
        <w:rPr>
          <w:color w:val="6E6158"/>
        </w:rPr>
        <w:t>free-standing mountain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world!),</w:t>
      </w:r>
      <w:r>
        <w:rPr>
          <w:color w:val="6E6158"/>
          <w:spacing w:val="12"/>
        </w:rPr>
        <w:t> </w:t>
      </w:r>
      <w:r>
        <w:rPr>
          <w:color w:val="6E6158"/>
        </w:rPr>
        <w:t>jet</w:t>
      </w:r>
      <w:r>
        <w:rPr>
          <w:color w:val="6E6158"/>
          <w:spacing w:val="12"/>
        </w:rPr>
        <w:t> </w:t>
      </w:r>
      <w:r>
        <w:rPr>
          <w:color w:val="6E6158"/>
        </w:rPr>
        <w:t>skiing,</w:t>
      </w:r>
      <w:r>
        <w:rPr>
          <w:color w:val="6E6158"/>
          <w:spacing w:val="12"/>
        </w:rPr>
        <w:t> </w:t>
      </w:r>
      <w:r>
        <w:rPr>
          <w:color w:val="6E6158"/>
        </w:rPr>
        <w:t>kayaking,</w:t>
      </w:r>
      <w:r>
        <w:rPr>
          <w:color w:val="6E6158"/>
          <w:spacing w:val="12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putting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PADI</w:t>
      </w:r>
      <w:r>
        <w:rPr>
          <w:color w:val="6E6158"/>
          <w:spacing w:val="12"/>
        </w:rPr>
        <w:t> </w:t>
      </w:r>
      <w:r>
        <w:rPr>
          <w:color w:val="6E6158"/>
        </w:rPr>
        <w:t>scuba</w:t>
      </w:r>
      <w:r>
        <w:rPr>
          <w:color w:val="6E6158"/>
          <w:spacing w:val="12"/>
        </w:rPr>
        <w:t> </w:t>
      </w:r>
      <w:r>
        <w:rPr>
          <w:color w:val="6E6158"/>
        </w:rPr>
        <w:t>certification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good</w:t>
      </w:r>
      <w:r>
        <w:rPr>
          <w:color w:val="6E6158"/>
          <w:spacing w:val="12"/>
        </w:rPr>
        <w:t> </w:t>
      </w:r>
      <w:r>
        <w:rPr>
          <w:color w:val="6E6158"/>
        </w:rPr>
        <w:t>use.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2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O’Connor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52"/>
        <w:ind w:left="853" w:right="20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521262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1.044258pt;width:1.65pt;height:1.65pt;mso-position-horizontal-relative:page;mso-position-vertical-relative:paragraph;z-index:15729152" id="docshape7" coordorigin="1675,821" coordsize="33,33" path="m1696,853l1687,853,1683,852,1676,845,1675,842,1675,833,1676,829,1683,822,1687,821,1696,821,1699,822,1706,829,1707,833,1707,837,1707,842,1706,845,1699,852,1696,8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92374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27362pt;width:1.65pt;height:1.65pt;mso-position-horizontal-relative:page;mso-position-vertical-relative:paragraph;z-index:15729664" id="docshape8" coordorigin="2171,145" coordsize="33,33" path="m2192,178l2183,178,2179,176,2173,170,2171,166,2171,157,2173,153,2179,147,2183,145,2192,145,2196,147,2202,153,2204,157,2204,162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355908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2426pt;width:1.65pt;height:1.65pt;mso-position-horizontal-relative:page;mso-position-vertical-relative:paragraph;z-index:15730176" id="docshape9" coordorigin="2171,560" coordsize="33,33" path="m2192,593l2183,593,2179,591,2173,585,2171,581,2171,572,2173,568,2179,562,2183,560,2192,560,2196,562,2202,568,2204,572,2204,577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Government and Public Interest Law Student </w:t>
      </w:r>
      <w:r>
        <w:rPr>
          <w:color w:val="6E6158"/>
        </w:rPr>
        <w:t>Association Associate Editor, Corporate and Business Law Journal</w:t>
      </w:r>
    </w:p>
    <w:p>
      <w:pPr>
        <w:pStyle w:val="BodyText"/>
        <w:spacing w:line="427" w:lineRule="auto"/>
        <w:ind w:left="853" w:right="1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63513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001034pt;width:1.65pt;height:1.65pt;mso-position-horizontal-relative:page;mso-position-vertical-relative:paragraph;z-index:15730688" id="docshape10" coordorigin="2171,100" coordsize="33,33" path="m2192,133l2183,133,2179,131,2173,125,2171,121,2171,112,2173,108,2179,102,2183,100,2192,100,2196,102,2202,108,2204,112,2204,116,2204,121,2202,125,2196,131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321878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5.344778pt;width:1.65pt;height:1.65pt;mso-position-horizontal-relative:page;mso-position-vertical-relative:paragraph;z-index:15731200" id="docshape11" coordorigin="2171,507" coordsize="33,33" path="m2192,539l2183,539,2179,538,2173,532,2171,528,2171,519,2173,515,2179,508,2183,507,2192,507,2196,508,2202,515,2204,519,2204,523,2204,528,2202,532,2196,538,2192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Note and Comment Editor, Corporate and Business Law </w:t>
      </w:r>
      <w:r>
        <w:rPr>
          <w:color w:val="6E6158"/>
        </w:rPr>
        <w:t>Journal Legal Method &amp; Writing TA</w:t>
      </w:r>
    </w:p>
    <w:p>
      <w:pPr>
        <w:pStyle w:val="BodyText"/>
        <w:spacing w:line="226" w:lineRule="exact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53628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.222714pt;width:1.65pt;height:1.65pt;mso-position-horizontal-relative:page;mso-position-vertical-relative:paragraph;z-index:15731712" id="docshape12" coordorigin="2171,84" coordsize="33,33" path="m2192,117l2183,117,2179,115,2173,109,2171,105,2171,96,2173,92,2179,86,2183,84,2192,84,2196,86,2202,92,2204,96,2204,101,2204,105,2202,109,2196,115,2192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Liburdi</w:t>
      </w:r>
      <w:r>
        <w:rPr>
          <w:color w:val="6E6158"/>
          <w:spacing w:val="13"/>
        </w:rPr>
        <w:t> </w:t>
      </w:r>
      <w:r>
        <w:rPr>
          <w:color w:val="6E6158"/>
        </w:rPr>
        <w:t>Family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Policy</w:t>
      </w:r>
      <w:r>
        <w:rPr>
          <w:color w:val="6E6158"/>
          <w:spacing w:val="14"/>
        </w:rPr>
        <w:t> </w:t>
      </w:r>
      <w:r>
        <w:rPr>
          <w:color w:val="6E6158"/>
        </w:rPr>
        <w:t>Graduation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162"/>
        <w:rPr>
          <w:i/>
          <w:sz w:val="20"/>
        </w:rPr>
      </w:pP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California,</w:t>
      </w:r>
      <w:r>
        <w:rPr>
          <w:color w:val="6E6158"/>
          <w:spacing w:val="10"/>
        </w:rPr>
        <w:t> </w:t>
      </w:r>
      <w:r>
        <w:rPr>
          <w:color w:val="6E6158"/>
        </w:rPr>
        <w:t>Los</w:t>
      </w:r>
      <w:r>
        <w:rPr>
          <w:color w:val="6E6158"/>
          <w:spacing w:val="9"/>
        </w:rPr>
        <w:t> </w:t>
      </w:r>
      <w:r>
        <w:rPr>
          <w:color w:val="6E6158"/>
        </w:rPr>
        <w:t>Angeles,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132398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25096pt;width:1.65pt;height:1.65pt;mso-position-horizontal-relative:page;mso-position-vertical-relative:paragraph;z-index:15732224" id="docshape13" coordorigin="1675,209" coordsize="33,33" path="m1696,241l1687,241,1683,239,1676,233,1675,229,1675,220,1676,216,1683,210,1687,209,1696,209,1699,210,1706,216,1707,220,1707,225,1707,229,1706,233,1699,239,16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96227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76967pt;width:1.65pt;height:1.65pt;mso-position-horizontal-relative:page;mso-position-vertical-relative:paragraph;z-index:15732736" id="docshape14" coordorigin="2171,152" coordsize="33,33" path="m2192,184l2183,184,2179,183,2173,176,2171,172,2171,163,2173,159,2179,153,2183,152,2192,152,2196,153,2202,159,2204,163,2204,168,2204,172,2202,176,2196,183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Deans</w:t>
      </w:r>
      <w:r>
        <w:rPr>
          <w:color w:val="6E6158"/>
          <w:spacing w:val="13"/>
        </w:rPr>
        <w:t> </w:t>
      </w:r>
      <w:r>
        <w:rPr>
          <w:color w:val="6E6158"/>
        </w:rPr>
        <w:t>Honors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List</w:t>
      </w:r>
    </w:p>
    <w:p>
      <w:pPr>
        <w:pStyle w:val="BodyText"/>
        <w:spacing w:before="18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174917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73029pt;width:1.65pt;height:1.65pt;mso-position-horizontal-relative:page;mso-position-vertical-relative:paragraph;z-index:15733248" id="docshape15" coordorigin="2171,275" coordsize="33,33" path="m2192,308l2183,308,2179,306,2173,300,2171,296,2171,287,2173,283,2179,277,2183,275,2192,275,2196,277,2202,283,2204,287,2204,292,2204,296,2202,300,2196,306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Colleges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Cancer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901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272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Liburdi</w:t>
      </w:r>
      <w:r>
        <w:rPr>
          <w:color w:val="6E6158"/>
          <w:spacing w:val="12"/>
        </w:rPr>
        <w:t> </w:t>
      </w:r>
      <w:r>
        <w:rPr>
          <w:color w:val="6E6158"/>
        </w:rPr>
        <w:t>Family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</w:rPr>
        <w:t>Interest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4784" id="docshape1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Appeals,</w:t>
      </w:r>
      <w:r>
        <w:rPr>
          <w:color w:val="6E6158"/>
          <w:spacing w:val="13"/>
        </w:rPr>
        <w:t> </w:t>
      </w:r>
      <w:r>
        <w:rPr>
          <w:color w:val="6E6158"/>
        </w:rPr>
        <w:t>Division</w:t>
      </w:r>
      <w:r>
        <w:rPr>
          <w:color w:val="6E6158"/>
          <w:spacing w:val="13"/>
        </w:rPr>
        <w:t> </w:t>
      </w:r>
      <w:r>
        <w:rPr>
          <w:color w:val="6E6158"/>
        </w:rPr>
        <w:t>One–</w:t>
      </w:r>
      <w:r>
        <w:rPr>
          <w:color w:val="6E6158"/>
          <w:spacing w:val="13"/>
        </w:rPr>
        <w:t> </w:t>
      </w:r>
      <w:r>
        <w:rPr>
          <w:color w:val="6E6158"/>
        </w:rPr>
        <w:t>Judicial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Clerk,</w:t>
      </w:r>
      <w:r>
        <w:rPr>
          <w:color w:val="6E6158"/>
          <w:spacing w:val="13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42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174891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962pt;width:1.65pt;height:1.65pt;mso-position-horizontal-relative:page;mso-position-vertical-relative:paragraph;z-index:15735808" id="docshape2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ite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2025-05-21T16:04:28Z</dcterms:created>
  <dcterms:modified xsi:type="dcterms:W3CDTF">2025-05-21T16:04:28Z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2025-05-21T00:00:00Z</vt:filetime>
  </property>
  <property fmtid="{D5CDD505-2E9C-101B-9397-08002B2CF9AE}" pid="5" name="Producer">
    <vt:lpwstr>Skia/PDF m117</vt:lpwstr>
  </property>
</Properties>
</file>