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17696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647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64735"/>
                          <a:chExt cx="6066790" cy="48647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60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602105">
                                <a:moveTo>
                                  <a:pt x="6066424" y="1601866"/>
                                </a:moveTo>
                                <a:lnTo>
                                  <a:pt x="0" y="1601866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601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20500" y="763308"/>
                            <a:ext cx="147129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RACHEL 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GREENBERG</w:t>
                              </w:r>
                            </w:p>
                            <w:p>
                              <w:pPr>
                                <w:spacing w:before="48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69940" y="2133494"/>
                            <a:ext cx="7727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Bernardino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909.890.4499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909.890.9877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25147" y="2500373"/>
                            <a:ext cx="16624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rgreenberg@fennemorelaw.com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730547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273258" y="3756030"/>
                            <a:ext cx="353631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braver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than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believe,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stronger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than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seem,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smarter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than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think.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296466" y="4221088"/>
                            <a:ext cx="14897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Winnie-the-Pooh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A.A.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Milne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730547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83.05pt;mso-position-horizontal-relative:page;mso-position-vertical-relative:page;z-index:-15798784" id="docshapegroup1" coordorigin="1341,560" coordsize="9554,7661">
                <v:rect style="position:absolute;left:1341;top:5540;width:9554;height:2523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57;top:1762;width:2317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RACHEL 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GREENBERG</w:t>
                        </w:r>
                      </w:p>
                      <w:p>
                        <w:pPr>
                          <w:spacing w:before="48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908;top:3919;width:1217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Bernardino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909.890.4499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909.890.9877</w:t>
                        </w:r>
                      </w:p>
                    </w:txbxContent>
                  </v:textbox>
                  <w10:wrap type="none"/>
                </v:shape>
                <v:shape style="position:absolute;left:7207;top:4497;width:2618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rgreenberg@fennemorelaw.com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434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46;top:6475;width:5569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braver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than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believe,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stronger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than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seem,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smarter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than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think.</w:t>
                        </w:r>
                      </w:p>
                    </w:txbxContent>
                  </v:textbox>
                  <w10:wrap type="none"/>
                </v:shape>
                <v:shape style="position:absolute;left:4957;top:7207;width:2346;height:200" type="#_x0000_t202" id="docshape14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Winnie-the-Pooh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by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A.A.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Milne</w:t>
                        </w:r>
                      </w:p>
                    </w:txbxContent>
                  </v:textbox>
                  <w10:wrap type="none"/>
                </v:shape>
                <v:shape style="position:absolute;left:8986;top:6434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59"/>
        <w:rPr>
          <w:rFonts w:ascii="Times New Roman"/>
          <w:sz w:val="24"/>
        </w:rPr>
      </w:pPr>
    </w:p>
    <w:p>
      <w:pPr>
        <w:pStyle w:val="Heading1"/>
        <w:spacing w:before="1"/>
      </w:pPr>
      <w:r>
        <w:rPr>
          <w:color w:val="002E6B"/>
        </w:rPr>
        <w:t>RACHEL</w:t>
      </w:r>
      <w:r>
        <w:rPr>
          <w:color w:val="002E6B"/>
          <w:spacing w:val="6"/>
        </w:rPr>
        <w:t> </w:t>
      </w:r>
      <w:r>
        <w:rPr>
          <w:color w:val="002E6B"/>
        </w:rPr>
        <w:t>J.</w:t>
      </w:r>
      <w:r>
        <w:rPr>
          <w:color w:val="002E6B"/>
          <w:spacing w:val="6"/>
        </w:rPr>
        <w:t> </w:t>
      </w:r>
      <w:r>
        <w:rPr>
          <w:color w:val="002E6B"/>
          <w:spacing w:val="-2"/>
        </w:rPr>
        <w:t>GREENBERG</w:t>
      </w:r>
    </w:p>
    <w:p>
      <w:pPr>
        <w:pStyle w:val="BodyText"/>
        <w:spacing w:line="297" w:lineRule="auto" w:before="146"/>
        <w:ind w:left="104" w:right="118"/>
      </w:pPr>
      <w:r>
        <w:rPr>
          <w:color w:val="6E6158"/>
        </w:rPr>
        <w:t>Rachel Greenberg is an associate attorney who works out of our San Bernardino office. Her</w:t>
      </w:r>
      <w:r>
        <w:rPr>
          <w:color w:val="6E6158"/>
          <w:spacing w:val="40"/>
        </w:rPr>
        <w:t> </w:t>
      </w:r>
      <w:r>
        <w:rPr>
          <w:color w:val="6E6158"/>
        </w:rPr>
        <w:t>practice focuses on the intersection of tax law and business; she helps her clients with a broad</w:t>
      </w:r>
      <w:r>
        <w:rPr>
          <w:color w:val="6E6158"/>
          <w:spacing w:val="40"/>
        </w:rPr>
        <w:t> </w:t>
      </w:r>
      <w:r>
        <w:rPr>
          <w:color w:val="6E6158"/>
        </w:rPr>
        <w:t>range of services related to general corporate matters, as well as tax law and planning. </w:t>
      </w:r>
      <w:r>
        <w:rPr>
          <w:color w:val="6E6158"/>
        </w:rPr>
        <w:t>Rachel’s</w:t>
      </w:r>
      <w:r>
        <w:rPr>
          <w:color w:val="6E6158"/>
          <w:spacing w:val="40"/>
        </w:rPr>
        <w:t> </w:t>
      </w:r>
      <w:r>
        <w:rPr>
          <w:color w:val="6E6158"/>
        </w:rPr>
        <w:t>goal</w:t>
      </w:r>
      <w:r>
        <w:rPr>
          <w:color w:val="6E6158"/>
          <w:spacing w:val="23"/>
        </w:rPr>
        <w:t> </w:t>
      </w:r>
      <w:r>
        <w:rPr>
          <w:color w:val="6E6158"/>
        </w:rPr>
        <w:t>is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help</w:t>
      </w:r>
      <w:r>
        <w:rPr>
          <w:color w:val="6E6158"/>
          <w:spacing w:val="23"/>
        </w:rPr>
        <w:t> </w:t>
      </w:r>
      <w:r>
        <w:rPr>
          <w:color w:val="6E6158"/>
        </w:rPr>
        <w:t>clients</w:t>
      </w:r>
      <w:r>
        <w:rPr>
          <w:color w:val="6E6158"/>
          <w:spacing w:val="23"/>
        </w:rPr>
        <w:t> </w:t>
      </w:r>
      <w:r>
        <w:rPr>
          <w:color w:val="6E6158"/>
        </w:rPr>
        <w:t>align</w:t>
      </w:r>
      <w:r>
        <w:rPr>
          <w:color w:val="6E6158"/>
          <w:spacing w:val="23"/>
        </w:rPr>
        <w:t> </w:t>
      </w:r>
      <w:r>
        <w:rPr>
          <w:color w:val="6E6158"/>
        </w:rPr>
        <w:t>their</w:t>
      </w:r>
      <w:r>
        <w:rPr>
          <w:color w:val="6E6158"/>
          <w:spacing w:val="23"/>
        </w:rPr>
        <w:t> </w:t>
      </w:r>
      <w:r>
        <w:rPr>
          <w:color w:val="6E6158"/>
        </w:rPr>
        <w:t>tax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business</w:t>
      </w:r>
      <w:r>
        <w:rPr>
          <w:color w:val="6E6158"/>
          <w:spacing w:val="23"/>
        </w:rPr>
        <w:t> </w:t>
      </w:r>
      <w:r>
        <w:rPr>
          <w:color w:val="6E6158"/>
        </w:rPr>
        <w:t>strategies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an</w:t>
      </w:r>
      <w:r>
        <w:rPr>
          <w:color w:val="6E6158"/>
          <w:spacing w:val="23"/>
        </w:rPr>
        <w:t> </w:t>
      </w:r>
      <w:r>
        <w:rPr>
          <w:color w:val="6E6158"/>
        </w:rPr>
        <w:t>effort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increase</w:t>
      </w:r>
      <w:r>
        <w:rPr>
          <w:color w:val="6E6158"/>
          <w:spacing w:val="23"/>
        </w:rPr>
        <w:t> </w:t>
      </w:r>
      <w:r>
        <w:rPr>
          <w:color w:val="6E6158"/>
        </w:rPr>
        <w:t>their operational</w:t>
      </w:r>
      <w:r>
        <w:rPr>
          <w:color w:val="6E6158"/>
          <w:spacing w:val="18"/>
        </w:rPr>
        <w:t> </w:t>
      </w:r>
      <w:r>
        <w:rPr>
          <w:color w:val="6E6158"/>
        </w:rPr>
        <w:t>efficiencies.</w:t>
      </w:r>
      <w:r>
        <w:rPr>
          <w:color w:val="6E6158"/>
          <w:spacing w:val="18"/>
        </w:rPr>
        <w:t> </w:t>
      </w:r>
      <w:r>
        <w:rPr>
          <w:color w:val="6E6158"/>
        </w:rPr>
        <w:t>In</w:t>
      </w:r>
      <w:r>
        <w:rPr>
          <w:color w:val="6E6158"/>
          <w:spacing w:val="18"/>
        </w:rPr>
        <w:t> </w:t>
      </w:r>
      <w:r>
        <w:rPr>
          <w:color w:val="6E6158"/>
        </w:rPr>
        <w:t>addition,</w:t>
      </w:r>
      <w:r>
        <w:rPr>
          <w:color w:val="6E6158"/>
          <w:spacing w:val="18"/>
        </w:rPr>
        <w:t> </w:t>
      </w:r>
      <w:r>
        <w:rPr>
          <w:color w:val="6E6158"/>
        </w:rPr>
        <w:t>Rachel</w:t>
      </w:r>
      <w:r>
        <w:rPr>
          <w:color w:val="6E6158"/>
          <w:spacing w:val="18"/>
        </w:rPr>
        <w:t> </w:t>
      </w:r>
      <w:r>
        <w:rPr>
          <w:color w:val="6E6158"/>
        </w:rPr>
        <w:t>will</w:t>
      </w:r>
      <w:r>
        <w:rPr>
          <w:color w:val="6E6158"/>
          <w:spacing w:val="18"/>
        </w:rPr>
        <w:t> </w:t>
      </w:r>
      <w:r>
        <w:rPr>
          <w:color w:val="6E6158"/>
        </w:rPr>
        <w:t>often</w:t>
      </w:r>
      <w:r>
        <w:rPr>
          <w:color w:val="6E6158"/>
          <w:spacing w:val="18"/>
        </w:rPr>
        <w:t> </w:t>
      </w:r>
      <w:r>
        <w:rPr>
          <w:color w:val="6E6158"/>
        </w:rPr>
        <w:t>assist</w:t>
      </w:r>
      <w:r>
        <w:rPr>
          <w:color w:val="6E6158"/>
          <w:spacing w:val="18"/>
        </w:rPr>
        <w:t> </w:t>
      </w:r>
      <w:r>
        <w:rPr>
          <w:color w:val="6E6158"/>
        </w:rPr>
        <w:t>attorneys</w:t>
      </w:r>
      <w:r>
        <w:rPr>
          <w:color w:val="6E6158"/>
          <w:spacing w:val="18"/>
        </w:rPr>
        <w:t> </w:t>
      </w:r>
      <w:r>
        <w:rPr>
          <w:color w:val="6E6158"/>
        </w:rPr>
        <w:t>with</w:t>
      </w:r>
      <w:r>
        <w:rPr>
          <w:color w:val="6E6158"/>
          <w:spacing w:val="18"/>
        </w:rPr>
        <w:t> </w:t>
      </w:r>
      <w:r>
        <w:rPr>
          <w:color w:val="6E6158"/>
        </w:rPr>
        <w:t>tax</w:t>
      </w:r>
      <w:r>
        <w:rPr>
          <w:color w:val="6E6158"/>
          <w:spacing w:val="18"/>
        </w:rPr>
        <w:t> </w:t>
      </w:r>
      <w:r>
        <w:rPr>
          <w:color w:val="6E6158"/>
        </w:rPr>
        <w:t>questions</w:t>
      </w:r>
      <w:r>
        <w:rPr>
          <w:color w:val="6E6158"/>
          <w:spacing w:val="18"/>
        </w:rPr>
        <w:t> </w:t>
      </w:r>
      <w:r>
        <w:rPr>
          <w:color w:val="6E6158"/>
        </w:rPr>
        <w:t>that</w:t>
      </w:r>
      <w:r>
        <w:rPr>
          <w:color w:val="6E6158"/>
          <w:spacing w:val="18"/>
        </w:rPr>
        <w:t> </w:t>
      </w:r>
      <w:r>
        <w:rPr>
          <w:color w:val="6E6158"/>
        </w:rPr>
        <w:t>arise in our Real Estate and Trust &amp; Estates groups.</w:t>
      </w:r>
    </w:p>
    <w:p>
      <w:pPr>
        <w:pStyle w:val="BodyText"/>
        <w:spacing w:before="188"/>
        <w:ind w:left="104"/>
      </w:pPr>
      <w:r>
        <w:rPr>
          <w:color w:val="6E6158"/>
        </w:rPr>
        <w:t>Rachel</w:t>
      </w:r>
      <w:r>
        <w:rPr>
          <w:color w:val="6E6158"/>
          <w:spacing w:val="13"/>
        </w:rPr>
        <w:t> </w:t>
      </w:r>
      <w:r>
        <w:rPr>
          <w:color w:val="6E6158"/>
        </w:rPr>
        <w:t>received</w:t>
      </w:r>
      <w:r>
        <w:rPr>
          <w:color w:val="6E6158"/>
          <w:spacing w:val="13"/>
        </w:rPr>
        <w:t> </w:t>
      </w:r>
      <w:r>
        <w:rPr>
          <w:color w:val="6E6158"/>
        </w:rPr>
        <w:t>her</w:t>
      </w:r>
      <w:r>
        <w:rPr>
          <w:color w:val="6E6158"/>
          <w:spacing w:val="13"/>
        </w:rPr>
        <w:t> </w:t>
      </w:r>
      <w:r>
        <w:rPr>
          <w:color w:val="6E6158"/>
        </w:rPr>
        <w:t>Bachelor’s</w:t>
      </w:r>
      <w:r>
        <w:rPr>
          <w:color w:val="6E6158"/>
          <w:spacing w:val="13"/>
        </w:rPr>
        <w:t> </w:t>
      </w:r>
      <w:r>
        <w:rPr>
          <w:color w:val="6E6158"/>
        </w:rPr>
        <w:t>degree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Economics</w:t>
      </w:r>
      <w:r>
        <w:rPr>
          <w:color w:val="6E6158"/>
          <w:spacing w:val="13"/>
        </w:rPr>
        <w:t> </w:t>
      </w:r>
      <w:r>
        <w:rPr>
          <w:color w:val="6E6158"/>
        </w:rPr>
        <w:t>from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Los</w:t>
      </w:r>
    </w:p>
    <w:p>
      <w:pPr>
        <w:pStyle w:val="BodyText"/>
        <w:spacing w:line="297" w:lineRule="auto" w:before="51"/>
        <w:ind w:left="104" w:right="389"/>
      </w:pPr>
      <w:r>
        <w:rPr>
          <w:color w:val="6E6158"/>
        </w:rPr>
        <w:t>Angeles. After graduating from Chapman University’s School of Law, where she was Editor-in-</w:t>
      </w:r>
      <w:r>
        <w:rPr>
          <w:color w:val="6E6158"/>
          <w:spacing w:val="40"/>
        </w:rPr>
        <w:t> </w:t>
      </w:r>
      <w:r>
        <w:rPr>
          <w:color w:val="6E6158"/>
        </w:rPr>
        <w:t>Chief of the Chapman Law Review and a member of the Mock Trial Board, Rachel began her</w:t>
      </w:r>
      <w:r>
        <w:rPr>
          <w:color w:val="6E6158"/>
          <w:spacing w:val="40"/>
        </w:rPr>
        <w:t> </w:t>
      </w:r>
      <w:r>
        <w:rPr>
          <w:color w:val="6E6158"/>
        </w:rPr>
        <w:t>career</w:t>
      </w:r>
      <w:r>
        <w:rPr>
          <w:color w:val="6E6158"/>
          <w:spacing w:val="40"/>
        </w:rPr>
        <w:t> </w:t>
      </w:r>
      <w:r>
        <w:rPr>
          <w:color w:val="6E6158"/>
        </w:rPr>
        <w:t>working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PricewaterhouseCoopers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their</w:t>
      </w:r>
      <w:r>
        <w:rPr>
          <w:color w:val="6E6158"/>
          <w:spacing w:val="40"/>
        </w:rPr>
        <w:t> </w:t>
      </w:r>
      <w:r>
        <w:rPr>
          <w:color w:val="6E6158"/>
        </w:rPr>
        <w:t>International</w:t>
      </w:r>
      <w:r>
        <w:rPr>
          <w:color w:val="6E6158"/>
          <w:spacing w:val="40"/>
        </w:rPr>
        <w:t> </w:t>
      </w:r>
      <w:r>
        <w:rPr>
          <w:color w:val="6E6158"/>
        </w:rPr>
        <w:t>Tax</w:t>
      </w:r>
      <w:r>
        <w:rPr>
          <w:color w:val="6E6158"/>
          <w:spacing w:val="40"/>
        </w:rPr>
        <w:t> </w:t>
      </w:r>
      <w:r>
        <w:rPr>
          <w:color w:val="6E6158"/>
        </w:rPr>
        <w:t>Services</w:t>
      </w:r>
      <w:r>
        <w:rPr>
          <w:color w:val="6E6158"/>
          <w:spacing w:val="40"/>
        </w:rPr>
        <w:t> </w:t>
      </w:r>
      <w:r>
        <w:rPr>
          <w:color w:val="6E6158"/>
        </w:rPr>
        <w:t>practice.</w:t>
      </w:r>
    </w:p>
    <w:p>
      <w:pPr>
        <w:pStyle w:val="BodyText"/>
        <w:spacing w:line="292" w:lineRule="auto" w:before="192"/>
        <w:ind w:left="104" w:right="116"/>
      </w:pPr>
      <w:r>
        <w:rPr>
          <w:color w:val="6E6158"/>
        </w:rPr>
        <w:t>Outside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work,</w:t>
      </w:r>
      <w:r>
        <w:rPr>
          <w:color w:val="6E6158"/>
          <w:spacing w:val="25"/>
        </w:rPr>
        <w:t> </w:t>
      </w:r>
      <w:r>
        <w:rPr>
          <w:color w:val="6E6158"/>
        </w:rPr>
        <w:t>Rachel</w:t>
      </w:r>
      <w:r>
        <w:rPr>
          <w:color w:val="6E6158"/>
          <w:spacing w:val="25"/>
        </w:rPr>
        <w:t> </w:t>
      </w:r>
      <w:r>
        <w:rPr>
          <w:color w:val="6E6158"/>
        </w:rPr>
        <w:t>enjoys</w:t>
      </w:r>
      <w:r>
        <w:rPr>
          <w:color w:val="6E6158"/>
          <w:spacing w:val="25"/>
        </w:rPr>
        <w:t> </w:t>
      </w:r>
      <w:r>
        <w:rPr>
          <w:color w:val="6E6158"/>
        </w:rPr>
        <w:t>travel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spending</w:t>
      </w:r>
      <w:r>
        <w:rPr>
          <w:color w:val="6E6158"/>
          <w:spacing w:val="25"/>
        </w:rPr>
        <w:t> </w:t>
      </w:r>
      <w:r>
        <w:rPr>
          <w:color w:val="6E6158"/>
        </w:rPr>
        <w:t>time</w:t>
      </w:r>
      <w:r>
        <w:rPr>
          <w:color w:val="6E6158"/>
          <w:spacing w:val="25"/>
        </w:rPr>
        <w:t> </w:t>
      </w:r>
      <w:r>
        <w:rPr>
          <w:color w:val="6E6158"/>
        </w:rPr>
        <w:t>with</w:t>
      </w:r>
      <w:r>
        <w:rPr>
          <w:color w:val="6E6158"/>
          <w:spacing w:val="25"/>
        </w:rPr>
        <w:t> </w:t>
      </w:r>
      <w:r>
        <w:rPr>
          <w:color w:val="6E6158"/>
        </w:rPr>
        <w:t>her</w:t>
      </w:r>
      <w:r>
        <w:rPr>
          <w:color w:val="6E6158"/>
          <w:spacing w:val="25"/>
        </w:rPr>
        <w:t> </w:t>
      </w:r>
      <w:r>
        <w:rPr>
          <w:color w:val="6E6158"/>
        </w:rPr>
        <w:t>family.</w:t>
      </w:r>
      <w:r>
        <w:rPr>
          <w:color w:val="6E6158"/>
          <w:spacing w:val="25"/>
        </w:rPr>
        <w:t> </w:t>
      </w:r>
      <w:r>
        <w:rPr>
          <w:color w:val="6E6158"/>
        </w:rPr>
        <w:t>She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involved</w:t>
      </w:r>
      <w:r>
        <w:rPr>
          <w:color w:val="6E6158"/>
          <w:spacing w:val="25"/>
        </w:rPr>
        <w:t> </w:t>
      </w:r>
      <w:r>
        <w:rPr>
          <w:color w:val="6E6158"/>
        </w:rPr>
        <w:t>in several local bar associations and is a volunteer “wish granter” for Make-A-Wish Orange </w:t>
      </w:r>
      <w:r>
        <w:rPr>
          <w:color w:val="6E6158"/>
        </w:rPr>
        <w:t>County</w:t>
      </w:r>
      <w:r>
        <w:rPr>
          <w:color w:val="6E6158"/>
          <w:spacing w:val="40"/>
        </w:rPr>
        <w:t> </w:t>
      </w:r>
      <w:r>
        <w:rPr>
          <w:color w:val="6E6158"/>
        </w:rPr>
        <w:t>and the Inland Empire.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18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152595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401pt;width:1.65pt;height:1.65pt;mso-position-horizontal-relative:page;mso-position-vertical-relative:paragraph;z-index:15729152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416128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6041pt;width:1.65pt;height:1.65pt;mso-position-horizontal-relative:page;mso-position-vertical-relative:paragraph;z-index:15729664" id="docshape17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Business Emphasis, Chapman University, Dale E. Fowler School of </w:t>
      </w:r>
      <w:r>
        <w:rPr>
          <w:color w:val="6E6158"/>
        </w:rPr>
        <w:t>Law</w:t>
      </w:r>
      <w:r>
        <w:rPr>
          <w:color w:val="6E6158"/>
        </w:rPr>
        <w:t> B.A., Economics, University of California, Los Angeles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79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420" w:lineRule="auto"/>
        <w:ind w:left="356" w:right="60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59691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0113pt;width:1.65pt;height:1.65pt;mso-position-horizontal-relative:page;mso-position-vertical-relative:paragraph;z-index:15730176" id="docshape18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318057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43863pt;width:1.65pt;height:1.65pt;mso-position-horizontal-relative:page;mso-position-vertical-relative:paragraph;z-index:15730688" id="docshape19" coordorigin="1675,501" coordsize="33,33" path="m1696,533l1687,533,1683,532,1676,525,1675,522,1675,513,1676,509,1683,502,1687,501,1696,501,1699,502,1706,509,1707,513,1707,517,1707,522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Corporate </w:t>
      </w:r>
      <w:r>
        <w:rPr>
          <w:color w:val="6E6158"/>
        </w:rPr>
        <w:t>Governance Business &amp; Finance</w:t>
      </w:r>
    </w:p>
    <w:p>
      <w:pPr>
        <w:pStyle w:val="BodyText"/>
        <w:spacing w:line="420" w:lineRule="auto"/>
        <w:ind w:left="356" w:right="77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63849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7521pt;width:1.65pt;height:1.65pt;mso-position-horizontal-relative:page;mso-position-vertical-relative:paragraph;z-index:15731200" id="docshape20" coordorigin="1675,101" coordsize="33,33" path="m1696,133l1687,133,1683,132,1676,125,1675,121,1675,112,1676,108,1683,102,1687,101,1696,101,1699,102,1706,108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322215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1269pt;width:1.65pt;height:1.65pt;mso-position-horizontal-relative:page;mso-position-vertical-relative:paragraph;z-index:15731712" id="docshape21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-9"/>
        </w:rPr>
        <w:t> </w:t>
      </w:r>
      <w:r>
        <w:rPr>
          <w:color w:val="6E6158"/>
        </w:rPr>
        <w:t>Estate Tax Law</w:t>
      </w:r>
    </w:p>
    <w:p>
      <w:pPr>
        <w:pStyle w:val="BodyText"/>
        <w:spacing w:line="420" w:lineRule="auto" w:before="5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62840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48051pt;width:1.65pt;height:1.65pt;mso-position-horizontal-relative:page;mso-position-vertical-relative:paragraph;z-index:15732224" id="docshape22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326373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698673pt;width:1.65pt;height:1.65pt;mso-position-horizontal-relative:page;mso-position-vertical-relative:paragraph;z-index:15732736" id="docshape23" coordorigin="1675,514" coordsize="33,33" path="m1696,547l1687,547,1683,545,1676,539,1675,535,1675,526,1676,522,1683,516,1687,514,1696,514,1699,516,1706,522,1707,526,1707,530,1707,535,1706,539,1699,545,1696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6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7"/>
        <w:ind w:left="356" w:right="43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157750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1313pt;width:1.65pt;height:1.65pt;mso-position-horizontal-relative:page;mso-position-vertical-relative:paragraph;z-index:15733248" id="docshape24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416116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5064pt;width:1.65pt;height:1.65pt;mso-position-horizontal-relative:page;mso-position-vertical-relative:paragraph;z-index:15733760" id="docshape25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Orange County Bar </w:t>
      </w:r>
      <w:r>
        <w:rPr>
          <w:color w:val="6E6158"/>
        </w:rPr>
        <w:t>Association Member, UCLA Alumni Association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54520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92981pt;width:1.65pt;height:1.65pt;mso-position-horizontal-relative:page;mso-position-vertical-relative:paragraph;z-index:15734272" id="docshape26" coordorigin="1675,86" coordsize="33,33" path="m1696,118l1687,118,1683,117,1676,110,1675,107,1675,98,1676,94,1683,87,1687,86,1696,86,1699,87,1706,94,1707,98,1707,102,1707,107,1706,110,1699,117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Alumni,</w:t>
      </w:r>
      <w:r>
        <w:rPr>
          <w:color w:val="6E6158"/>
          <w:spacing w:val="11"/>
        </w:rPr>
        <w:t> </w:t>
      </w:r>
      <w:r>
        <w:rPr>
          <w:color w:val="6E6158"/>
        </w:rPr>
        <w:t>Delta</w:t>
      </w:r>
      <w:r>
        <w:rPr>
          <w:color w:val="6E6158"/>
          <w:spacing w:val="12"/>
        </w:rPr>
        <w:t> </w:t>
      </w:r>
      <w:r>
        <w:rPr>
          <w:color w:val="6E6158"/>
        </w:rPr>
        <w:t>Delta</w:t>
      </w:r>
      <w:r>
        <w:rPr>
          <w:color w:val="6E6158"/>
          <w:spacing w:val="12"/>
        </w:rPr>
        <w:t> </w:t>
      </w:r>
      <w:r>
        <w:rPr>
          <w:color w:val="6E6158"/>
        </w:rPr>
        <w:t>Delta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Fraternity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158119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0339pt;width:1.65pt;height:1.65pt;mso-position-horizontal-relative:page;mso-position-vertical-relative:paragraph;z-index:15734784" id="docshape27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2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an-bernardino/" TargetMode="External"/><Relationship Id="rId10" Type="http://schemas.openxmlformats.org/officeDocument/2006/relationships/hyperlink" Target="mailto:rgreenberg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2025-05-12T18:28:57Z</dcterms:created>
  <dcterms:modified xsi:type="dcterms:W3CDTF">2025-05-12T18:28:57Z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2025-05-12T00:00:00Z</vt:filetime>
  </property>
  <property fmtid="{D5CDD505-2E9C-101B-9397-08002B2CF9AE}" pid="5" name="Producer">
    <vt:lpwstr>Skia/PDF m117</vt:lpwstr>
  </property>
</Properties>
</file>