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284" w:right="0" w:firstLine="327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RHETT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BILLINGSLEY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602.916.5686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rbillingsley@fennemorelaw.com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284" w:right="0" w:firstLine="327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RHETT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BILLINGSLEY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602.916.5686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rbillingsley@fennemorelaw.com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RHETT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BILLINGSLEY</w:t>
      </w:r>
    </w:p>
    <w:p>
      <w:pPr>
        <w:pStyle w:val="BodyText"/>
        <w:spacing w:line="295" w:lineRule="auto" w:before="147"/>
        <w:ind w:left="104" w:right="698"/>
      </w:pPr>
      <w:r>
        <w:rPr>
          <w:color w:val="6E6158"/>
        </w:rPr>
        <w:t>Rhett Billingsley is a director in our natural resources, energy and environmental law practice</w:t>
      </w:r>
      <w:r>
        <w:rPr>
          <w:color w:val="6E6158"/>
          <w:spacing w:val="40"/>
        </w:rPr>
        <w:t> </w:t>
      </w:r>
      <w:r>
        <w:rPr>
          <w:color w:val="6E6158"/>
        </w:rPr>
        <w:t>group, where he specializes in the areas of water and environmental law. He has 15 years of</w:t>
      </w:r>
      <w:r>
        <w:rPr>
          <w:color w:val="6E6158"/>
          <w:spacing w:val="40"/>
        </w:rPr>
        <w:t> </w:t>
      </w:r>
      <w:r>
        <w:rPr>
          <w:color w:val="6E6158"/>
        </w:rPr>
        <w:t>experience helping municipal, residential development, agricultural, industrial, energy and</w:t>
      </w:r>
      <w:r>
        <w:rPr>
          <w:color w:val="6E6158"/>
          <w:spacing w:val="40"/>
        </w:rPr>
        <w:t> </w:t>
      </w:r>
      <w:r>
        <w:rPr>
          <w:color w:val="6E6158"/>
        </w:rPr>
        <w:t>mining</w:t>
      </w:r>
      <w:r>
        <w:rPr>
          <w:color w:val="6E6158"/>
          <w:spacing w:val="18"/>
        </w:rPr>
        <w:t> </w:t>
      </w:r>
      <w:r>
        <w:rPr>
          <w:color w:val="6E6158"/>
        </w:rPr>
        <w:t>clients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develop</w:t>
      </w:r>
      <w:r>
        <w:rPr>
          <w:color w:val="6E6158"/>
          <w:spacing w:val="18"/>
        </w:rPr>
        <w:t> </w:t>
      </w:r>
      <w:r>
        <w:rPr>
          <w:color w:val="6E6158"/>
        </w:rPr>
        <w:t>practical</w:t>
      </w:r>
      <w:r>
        <w:rPr>
          <w:color w:val="6E6158"/>
          <w:spacing w:val="18"/>
        </w:rPr>
        <w:t> </w:t>
      </w:r>
      <w:r>
        <w:rPr>
          <w:color w:val="6E6158"/>
        </w:rPr>
        <w:t>solutions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water</w:t>
      </w:r>
      <w:r>
        <w:rPr>
          <w:color w:val="6E6158"/>
          <w:spacing w:val="18"/>
        </w:rPr>
        <w:t> </w:t>
      </w:r>
      <w:r>
        <w:rPr>
          <w:color w:val="6E6158"/>
        </w:rPr>
        <w:t>resource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environmental</w:t>
      </w:r>
      <w:r>
        <w:rPr>
          <w:color w:val="6E6158"/>
          <w:spacing w:val="18"/>
        </w:rPr>
        <w:t> </w:t>
      </w:r>
      <w:r>
        <w:rPr>
          <w:color w:val="6E6158"/>
        </w:rPr>
        <w:t>permitting</w:t>
      </w:r>
    </w:p>
    <w:p>
      <w:pPr>
        <w:pStyle w:val="BodyText"/>
        <w:spacing w:line="297" w:lineRule="auto" w:before="1"/>
        <w:ind w:left="104" w:right="698"/>
      </w:pPr>
      <w:r>
        <w:rPr>
          <w:color w:val="6E6158"/>
        </w:rPr>
        <w:t>issues. Rhett has successfully represented clients in both the public and private sector, including</w:t>
      </w:r>
      <w:r>
        <w:rPr>
          <w:color w:val="6E6158"/>
          <w:spacing w:val="40"/>
        </w:rPr>
        <w:t> </w:t>
      </w:r>
      <w:r>
        <w:rPr>
          <w:color w:val="6E6158"/>
        </w:rPr>
        <w:t>serving as outside counsel to Fortune 500 companies and working as in-house counsel with the</w:t>
      </w:r>
      <w:r>
        <w:rPr>
          <w:color w:val="6E6158"/>
          <w:spacing w:val="40"/>
        </w:rPr>
        <w:t> </w:t>
      </w:r>
      <w:r>
        <w:rPr>
          <w:color w:val="6E6158"/>
        </w:rPr>
        <w:t>Central Arizona Project.</w:t>
      </w:r>
    </w:p>
    <w:p>
      <w:pPr>
        <w:pStyle w:val="BodyText"/>
        <w:spacing w:line="295" w:lineRule="auto" w:before="192"/>
        <w:ind w:left="104" w:right="698"/>
      </w:pPr>
      <w:r>
        <w:rPr>
          <w:color w:val="6E6158"/>
        </w:rPr>
        <w:t>Rhett has extensive experience in all areas of water law, including Arizona’s assured and</w:t>
      </w:r>
      <w:r>
        <w:rPr>
          <w:color w:val="6E6158"/>
          <w:spacing w:val="80"/>
        </w:rPr>
        <w:t> </w:t>
      </w:r>
      <w:r>
        <w:rPr>
          <w:color w:val="6E6158"/>
        </w:rPr>
        <w:t>adequate water supply programs, due diligence investigations and acquisition of surface water</w:t>
      </w:r>
      <w:r>
        <w:rPr>
          <w:color w:val="6E6158"/>
          <w:spacing w:val="40"/>
        </w:rPr>
        <w:t> </w:t>
      </w:r>
      <w:r>
        <w:rPr>
          <w:color w:val="6E6158"/>
        </w:rPr>
        <w:t>and groundwater rights (including Colorado River and Central Arizona Project entitlements),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sharing agreements, negotiation of development agreements with municipalities, water</w:t>
      </w:r>
      <w:r>
        <w:rPr>
          <w:color w:val="6E6158"/>
          <w:spacing w:val="40"/>
        </w:rPr>
        <w:t> </w:t>
      </w:r>
      <w:r>
        <w:rPr>
          <w:color w:val="6E6158"/>
        </w:rPr>
        <w:t>conservation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drought</w:t>
      </w:r>
      <w:r>
        <w:rPr>
          <w:color w:val="6E6158"/>
          <w:spacing w:val="40"/>
        </w:rPr>
        <w:t> </w:t>
      </w:r>
      <w:r>
        <w:rPr>
          <w:color w:val="6E6158"/>
        </w:rPr>
        <w:t>planning,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4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storage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recovery</w:t>
      </w:r>
      <w:r>
        <w:rPr>
          <w:color w:val="6E6158"/>
          <w:spacing w:val="40"/>
        </w:rPr>
        <w:t> </w:t>
      </w:r>
      <w:r>
        <w:rPr>
          <w:color w:val="6E6158"/>
        </w:rPr>
        <w:t>permitting, federal and Indian reserved water rights, subflow issues, representing clients in the Gila River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35"/>
        </w:rPr>
        <w:t> </w:t>
      </w:r>
      <w:r>
        <w:rPr>
          <w:color w:val="6E6158"/>
        </w:rPr>
        <w:t>Stream</w:t>
      </w:r>
      <w:r>
        <w:rPr>
          <w:color w:val="6E6158"/>
          <w:spacing w:val="35"/>
        </w:rPr>
        <w:t> </w:t>
      </w:r>
      <w:r>
        <w:rPr>
          <w:color w:val="6E6158"/>
        </w:rPr>
        <w:t>Adjudication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water</w:t>
      </w:r>
      <w:r>
        <w:rPr>
          <w:color w:val="6E6158"/>
          <w:spacing w:val="35"/>
        </w:rPr>
        <w:t> </w:t>
      </w:r>
      <w:r>
        <w:rPr>
          <w:color w:val="6E6158"/>
        </w:rPr>
        <w:t>litigation,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drafting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lobbying water resources legislation.</w:t>
      </w:r>
    </w:p>
    <w:p>
      <w:pPr>
        <w:pStyle w:val="BodyText"/>
        <w:spacing w:line="297" w:lineRule="auto" w:before="197"/>
        <w:ind w:left="104" w:right="521"/>
        <w:jc w:val="both"/>
      </w:pPr>
      <w:r>
        <w:rPr>
          <w:color w:val="6E6158"/>
        </w:rPr>
        <w:t>Rhett also helps clients with permitting and compliance issues under numerous state and </w:t>
      </w:r>
      <w:r>
        <w:rPr>
          <w:color w:val="6E6158"/>
        </w:rPr>
        <w:t>federal environmental programs, including the Endangered Species Act, the </w:t>
      </w:r>
      <w:hyperlink r:id="rId11">
        <w:r>
          <w:rPr>
            <w:color w:val="FF8100"/>
          </w:rPr>
          <w:t>Clean Water Act</w:t>
        </w:r>
      </w:hyperlink>
      <w:r>
        <w:rPr>
          <w:color w:val="6E6158"/>
        </w:rPr>
        <w:t>, National Environmental</w:t>
      </w:r>
      <w:r>
        <w:rPr>
          <w:color w:val="6E6158"/>
          <w:spacing w:val="31"/>
        </w:rPr>
        <w:t> </w:t>
      </w:r>
      <w:r>
        <w:rPr>
          <w:color w:val="6E6158"/>
        </w:rPr>
        <w:t>Policy</w:t>
      </w:r>
      <w:r>
        <w:rPr>
          <w:color w:val="6E6158"/>
          <w:spacing w:val="31"/>
        </w:rPr>
        <w:t> </w:t>
      </w:r>
      <w:r>
        <w:rPr>
          <w:color w:val="6E6158"/>
        </w:rPr>
        <w:t>Act</w:t>
      </w:r>
      <w:r>
        <w:rPr>
          <w:color w:val="6E6158"/>
          <w:spacing w:val="31"/>
        </w:rPr>
        <w:t> </w:t>
      </w:r>
      <w:r>
        <w:rPr>
          <w:color w:val="6E6158"/>
        </w:rPr>
        <w:t>(</w:t>
      </w:r>
      <w:hyperlink r:id="rId12">
        <w:r>
          <w:rPr>
            <w:color w:val="FF8100"/>
          </w:rPr>
          <w:t>NEPA</w:t>
        </w:r>
      </w:hyperlink>
      <w:r>
        <w:rPr>
          <w:color w:val="6E6158"/>
        </w:rPr>
        <w:t>),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</w:t>
      </w:r>
      <w:r>
        <w:rPr>
          <w:color w:val="6E6158"/>
          <w:spacing w:val="31"/>
        </w:rPr>
        <w:t> </w:t>
      </w:r>
      <w:r>
        <w:rPr>
          <w:color w:val="6E6158"/>
        </w:rPr>
        <w:t>Policy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  <w:r>
        <w:rPr>
          <w:color w:val="6E6158"/>
          <w:spacing w:val="31"/>
        </w:rPr>
        <w:t> </w:t>
      </w:r>
      <w:r>
        <w:rPr>
          <w:color w:val="6E6158"/>
        </w:rPr>
        <w:t>Act</w:t>
      </w:r>
      <w:r>
        <w:rPr>
          <w:color w:val="6E6158"/>
          <w:spacing w:val="31"/>
        </w:rPr>
        <w:t> </w:t>
      </w:r>
      <w:r>
        <w:rPr>
          <w:color w:val="6E6158"/>
        </w:rPr>
        <w:t>(FLPMA).</w:t>
      </w:r>
    </w:p>
    <w:p>
      <w:pPr>
        <w:pStyle w:val="BodyText"/>
        <w:spacing w:line="292" w:lineRule="auto"/>
        <w:ind w:left="104" w:right="1465"/>
        <w:jc w:val="both"/>
      </w:pPr>
      <w:r>
        <w:rPr>
          <w:color w:val="6E6158"/>
        </w:rPr>
        <w:t>He also represents clients on environmental due diligence investigations (Phase I and </w:t>
      </w:r>
      <w:r>
        <w:rPr>
          <w:color w:val="6E6158"/>
        </w:rPr>
        <w:t>II environmental site assessments) and regulation of underground storage tanks.</w:t>
      </w:r>
    </w:p>
    <w:p>
      <w:pPr>
        <w:pStyle w:val="BodyText"/>
        <w:spacing w:line="292" w:lineRule="auto" w:before="201"/>
        <w:ind w:left="104" w:right="698"/>
      </w:pPr>
      <w:r>
        <w:rPr>
          <w:color w:val="6E6158"/>
        </w:rPr>
        <w:t>Married with two kids, Rhett loves spending time with his family, backpacking in the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wilderness, and playing guitar and writing original indie rock music.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158122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601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173781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601pt;width:1.65pt;height:1.65pt;mso-position-horizontal-relative:page;mso-position-vertical-relative:paragraph;z-index:15729664" id="docshape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summa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173566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627pt;width:1.65pt;height:1.65pt;mso-position-horizontal-relative:page;mso-position-vertical-relative:paragraph;z-index:15730176" id="docshape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78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0688" id="docshape10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1200" id="docshape11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Indian</w:t>
      </w:r>
      <w:r>
        <w:rPr>
          <w:color w:val="6E6158"/>
          <w:spacing w:val="-9"/>
        </w:rPr>
        <w:t> </w:t>
      </w:r>
      <w:r>
        <w:rPr>
          <w:color w:val="6E6158"/>
        </w:rPr>
        <w:t>Law Water</w:t>
      </w:r>
      <w:r>
        <w:rPr>
          <w:color w:val="6E6158"/>
          <w:spacing w:val="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/>
        <w:ind w:right="7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63558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629pt;width:1.65pt;height:1.65pt;mso-position-horizontal-relative:page;mso-position-vertical-relative:paragraph;z-index:15731712" id="docshape1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321924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377pt;width:1.65pt;height:1.65pt;mso-position-horizontal-relative:page;mso-position-vertical-relative:paragraph;z-index:15732224" id="docshape1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Mining Law</w:t>
      </w:r>
    </w:p>
    <w:p>
      <w:pPr>
        <w:pStyle w:val="Heading1"/>
        <w:spacing w:before="16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163001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34767pt;width:1.65pt;height:1.65pt;mso-position-horizontal-relative:page;mso-position-vertical-relative:paragraph;z-index:15732736" id="docshape14" coordorigin="1675,257" coordsize="33,33" path="m1696,289l1687,289,1683,288,1676,281,1675,277,1675,268,1676,265,1683,258,1687,257,1696,257,1699,258,1706,265,1707,268,1707,273,1707,277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46"/>
          <w:sz w:val="19"/>
        </w:rPr>
        <w:t> </w:t>
      </w:r>
      <w:r>
        <w:rPr>
          <w:color w:val="6E6158"/>
          <w:sz w:val="19"/>
        </w:rPr>
        <w:t>Mining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184326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3866pt;width:1.65pt;height:1.65pt;mso-position-horizontal-relative:page;mso-position-vertical-relative:paragraph;z-index:15733248" id="docshape15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Environmental Law, Water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 2013-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173638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342pt;width:1.65pt;height:1.65pt;mso-position-horizontal-relative:page;mso-position-vertical-relative:paragraph;z-index:15733760" id="docshape1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2024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184392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9099pt;width:1.65pt;height:1.65pt;mso-position-horizontal-relative:page;mso-position-vertical-relative:paragraph;z-index:15734272" id="docshape17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Resources,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178959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91326pt;width:1.65pt;height:1.65pt;mso-position-horizontal-relative:page;mso-position-vertical-relative:paragraph;z-index:15734784" id="docshape18" coordorigin="1675,282" coordsize="33,33" path="m1696,314l1687,314,1683,313,1676,306,1675,303,1675,294,1676,290,1683,283,1687,282,1696,282,1699,283,1706,290,1707,294,1707,298,1707,303,1706,306,1699,313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245956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6627pt;width:1.65pt;height:1.65pt;mso-position-horizontal-relative:page;mso-position-vertical-relative:paragraph;z-index:15735296" id="docshape19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“Top 10 Arizona Water Rights Lawyers Influencing Environmental Law in </w:t>
      </w:r>
      <w:r>
        <w:rPr>
          <w:color w:val="6E6158"/>
        </w:rPr>
        <w:t>2023,” Business Today, July 14, 2023</w:t>
      </w:r>
    </w:p>
    <w:p>
      <w:pPr>
        <w:spacing w:line="283" w:lineRule="auto" w:before="132"/>
        <w:ind w:left="356" w:right="482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329072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11224pt;width:1.65pt;height:1.65pt;mso-position-horizontal-relative:page;mso-position-vertical-relative:paragraph;z-index:15735808" id="docshape20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“Clarification Sought from Arizona Supreme Court on Applicability of Forfeiture Laws to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Pre-1919 Water Rights,” </w:t>
      </w:r>
      <w:r>
        <w:rPr>
          <w:i/>
          <w:color w:val="6E6158"/>
          <w:sz w:val="20"/>
        </w:rPr>
        <w:t>Rocky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Mineral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Foundation,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Newsletter,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Vol.</w:t>
      </w:r>
    </w:p>
    <w:p>
      <w:pPr>
        <w:spacing w:line="241" w:lineRule="exact" w:before="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LII,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No.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2,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9"/>
        <w:ind w:right="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266449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263pt;width:1.65pt;height:1.65pt;mso-position-horizontal-relative:page;mso-position-vertical-relative:paragraph;z-index:15736320" id="docshape21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“Water is for Fighting (and Creative Compromises): International and Interstate Water Issues in North America,” Rocky Mountain Mineral Law Foundation, May 2018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143222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374pt;width:1.65pt;height:1.65pt;mso-position-horizontal-relative:page;mso-position-vertical-relative:paragraph;z-index:15736832" id="docshape22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7"/>
        </w:rPr>
        <w:t> </w:t>
      </w:r>
      <w:r>
        <w:rPr>
          <w:color w:val="6E6158"/>
        </w:rPr>
        <w:t>“Arizona</w:t>
      </w:r>
      <w:r>
        <w:rPr>
          <w:color w:val="6E6158"/>
          <w:spacing w:val="8"/>
        </w:rPr>
        <w:t> </w:t>
      </w:r>
      <w:r>
        <w:rPr>
          <w:color w:val="6E6158"/>
        </w:rPr>
        <w:t>Water</w:t>
      </w:r>
      <w:r>
        <w:rPr>
          <w:color w:val="6E6158"/>
          <w:spacing w:val="7"/>
        </w:rPr>
        <w:t> </w:t>
      </w:r>
      <w:r>
        <w:rPr>
          <w:color w:val="6E6158"/>
        </w:rPr>
        <w:t>Rights,</w:t>
      </w:r>
      <w:r>
        <w:rPr>
          <w:color w:val="6E6158"/>
          <w:spacing w:val="8"/>
        </w:rPr>
        <w:t> </w:t>
      </w:r>
      <w:r>
        <w:rPr>
          <w:color w:val="6E6158"/>
        </w:rPr>
        <w:t>Sales,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</w:rPr>
        <w:t>Transfers,”</w:t>
      </w:r>
      <w:r>
        <w:rPr>
          <w:color w:val="6E6158"/>
          <w:spacing w:val="8"/>
        </w:rPr>
        <w:t> </w:t>
      </w:r>
      <w:r>
        <w:rPr>
          <w:color w:val="6E6158"/>
        </w:rPr>
        <w:t>Lorman</w:t>
      </w:r>
      <w:r>
        <w:rPr>
          <w:color w:val="6E6158"/>
          <w:spacing w:val="8"/>
        </w:rPr>
        <w:t> </w:t>
      </w:r>
      <w:r>
        <w:rPr>
          <w:color w:val="6E6158"/>
        </w:rPr>
        <w:t>Webinar,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6"/>
        <w:ind w:right="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250572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0141pt;width:1.65pt;height:1.65pt;mso-position-horizontal-relative:page;mso-position-vertical-relative:paragraph;z-index:15737344" id="docshape23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Reporter, Rocky Mountain Mineral Law Foundation, Water Law Newsletter, </w:t>
      </w:r>
      <w:r>
        <w:rPr>
          <w:color w:val="6E6158"/>
        </w:rPr>
        <w:t>2018- </w:t>
      </w:r>
      <w:r>
        <w:rPr>
          <w:color w:val="6E6158"/>
          <w:spacing w:val="-2"/>
        </w:rPr>
        <w:t>Present</w:t>
      </w:r>
    </w:p>
    <w:p>
      <w:pPr>
        <w:pStyle w:val="BodyText"/>
        <w:spacing w:line="292" w:lineRule="auto" w:before="113"/>
        <w:ind w:right="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224310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283pt;width:1.65pt;height:1.65pt;mso-position-horizontal-relative:page;mso-position-vertical-relative:paragraph;z-index:15737856" id="docshape2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Programs Co-Chair, State Bar of Arizona, Environmental and Natural Resources Law Section, Member, 2005-Present; Executive Council, 2011-2016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142994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394pt;width:1.65pt;height:1.65pt;mso-position-horizontal-relative:page;mso-position-vertical-relative:paragraph;z-index:15738368" id="docshape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Men’s</w:t>
      </w:r>
      <w:r>
        <w:rPr>
          <w:color w:val="6E6158"/>
          <w:spacing w:val="12"/>
        </w:rPr>
        <w:t> </w:t>
      </w:r>
      <w:r>
        <w:rPr>
          <w:color w:val="6E6158"/>
        </w:rPr>
        <w:t>Arts</w:t>
      </w:r>
      <w:r>
        <w:rPr>
          <w:color w:val="6E6158"/>
          <w:spacing w:val="11"/>
        </w:rPr>
        <w:t> </w:t>
      </w:r>
      <w:r>
        <w:rPr>
          <w:color w:val="6E6158"/>
        </w:rPr>
        <w:t>Council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Art</w:t>
      </w:r>
      <w:r>
        <w:rPr>
          <w:color w:val="6E6158"/>
          <w:spacing w:val="11"/>
        </w:rPr>
        <w:t> </w:t>
      </w:r>
      <w:r>
        <w:rPr>
          <w:color w:val="6E6158"/>
        </w:rPr>
        <w:t>Museum,</w:t>
      </w:r>
      <w:r>
        <w:rPr>
          <w:color w:val="6E6158"/>
          <w:spacing w:val="12"/>
        </w:rPr>
        <w:t> </w:t>
      </w:r>
      <w:r>
        <w:rPr>
          <w:color w:val="6E6158"/>
        </w:rPr>
        <w:t>2010-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74"/>
        <w:ind w:right="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263260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9176pt;width:1.65pt;height:1.65pt;mso-position-horizontal-relative:page;mso-position-vertical-relative:paragraph;z-index:15738880" id="docshape2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Association, Mining Committee, Co-Chair, 2009-2010; Chair, 2010-</w:t>
      </w:r>
      <w:r>
        <w:rPr>
          <w:color w:val="6E6158"/>
        </w:rPr>
        <w:t>2012, Water Resources Committee, Vice Chair, 2012-2013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157761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138pt;width:1.65pt;height:1.65pt;mso-position-horizontal-relative:page;mso-position-vertical-relative:paragraph;z-index:15739392" id="docshape2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174855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176pt;width:1.65pt;height:1.65pt;mso-position-horizontal-relative:page;mso-position-vertical-relative:paragraph;z-index:15739904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billingsley@fennemorelaw.com" TargetMode="External"/><Relationship Id="rId11" Type="http://schemas.openxmlformats.org/officeDocument/2006/relationships/hyperlink" Target="https://www.epa.gov/laws-regulations/summary-clean-water-act" TargetMode="External"/><Relationship Id="rId12" Type="http://schemas.openxmlformats.org/officeDocument/2006/relationships/hyperlink" Target="https://www.epa.gov/nep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2025-05-21T16:13:32Z</dcterms:created>
  <dcterms:modified xsi:type="dcterms:W3CDTF">2025-05-21T16:13:32Z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2025-05-21T00:00:00Z</vt:filetime>
  </property>
  <property fmtid="{D5CDD505-2E9C-101B-9397-08002B2CF9AE}" pid="5" name="Producer">
    <vt:lpwstr>Skia/PDF m117</vt:lpwstr>
  </property>
</Properties>
</file>