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05"/>
        <w:rPr>
          <w:rFonts w:ascii="Times New Roman"/>
          <w:sz w:val="39"/>
        </w:rPr>
      </w:pPr>
    </w:p>
    <w:p>
      <w:pPr>
        <w:pStyle w:val="Title"/>
      </w:pPr>
      <w:r>
        <w:rPr>
          <w:color w:val="FFFFFF"/>
        </w:rPr>
        <w:t>STACIE</w:t>
      </w:r>
      <w:r>
        <w:rPr>
          <w:color w:val="FFFFFF"/>
          <w:spacing w:val="-16"/>
        </w:rPr>
        <w:t> </w:t>
      </w:r>
      <w:r>
        <w:rPr>
          <w:color w:val="FFFFFF"/>
        </w:rPr>
        <w:t>K.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SMITH</w:t>
      </w:r>
    </w:p>
    <w:p>
      <w:pPr>
        <w:spacing w:before="39"/>
        <w:ind w:left="4772" w:right="0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Director</w:t>
      </w:r>
    </w:p>
    <w:p>
      <w:pPr>
        <w:spacing w:before="291"/>
        <w:ind w:left="4772" w:right="0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Intellectual</w:t>
        </w:r>
        <w:r>
          <w:rPr>
            <w:color w:val="FFFFFF"/>
            <w:spacing w:val="8"/>
            <w:sz w:val="16"/>
          </w:rPr>
          <w:t> </w:t>
        </w:r>
        <w:r>
          <w:rPr>
            <w:color w:val="FFFFFF"/>
            <w:spacing w:val="-2"/>
            <w:sz w:val="16"/>
          </w:rPr>
          <w:t>Property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STACIE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pacing w:val="-11"/>
          <w:sz w:val="24"/>
        </w:rPr>
        <w:t>K</w:t>
      </w:r>
      <w:r>
        <w:rPr>
          <w:color w:val="FFFFFF"/>
          <w:spacing w:val="-721"/>
          <w:w w:val="99"/>
          <w:position w:val="15"/>
          <w:sz w:val="145"/>
        </w:rPr>
        <w:t>“</w:t>
      </w:r>
      <w:r>
        <w:rPr>
          <w:b/>
          <w:color w:val="002E6B"/>
          <w:sz w:val="24"/>
        </w:rPr>
        <w:t>.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pacing w:val="-2"/>
          <w:sz w:val="24"/>
        </w:rPr>
        <w:t>SMITH</w:t>
      </w:r>
    </w:p>
    <w:p>
      <w:pPr>
        <w:spacing w:before="103"/>
        <w:ind w:left="2231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Phoenix</w:t>
        </w:r>
      </w:hyperlink>
    </w:p>
    <w:p>
      <w:pPr>
        <w:tabs>
          <w:tab w:pos="3834" w:val="left" w:leader="none"/>
        </w:tabs>
        <w:spacing w:before="54"/>
        <w:ind w:left="2231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602.916.5451</w:t>
      </w:r>
      <w:r>
        <w:rPr>
          <w:color w:val="FFFFFF"/>
          <w:sz w:val="17"/>
        </w:rPr>
        <w:tab/>
        <w:t>F: </w:t>
      </w:r>
      <w:r>
        <w:rPr>
          <w:color w:val="FFFFFF"/>
          <w:spacing w:val="-2"/>
          <w:sz w:val="17"/>
        </w:rPr>
        <w:t>602.916.5651</w:t>
      </w:r>
    </w:p>
    <w:p>
      <w:pPr>
        <w:spacing w:before="119"/>
        <w:ind w:left="2231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ssmith@fennemorelaw.com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tabs>
          <w:tab w:pos="5005" w:val="left" w:leader="none"/>
        </w:tabs>
        <w:spacing w:before="0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Yes,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you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can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always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be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sued,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at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any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time,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by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anybody.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1981" w:space="560"/>
            <w:col w:w="6819"/>
          </w:cols>
        </w:sectPr>
      </w:pPr>
    </w:p>
    <w:p>
      <w:pPr>
        <w:pStyle w:val="BodyText"/>
        <w:spacing w:line="302" w:lineRule="auto" w:before="22"/>
        <w:ind w:left="104" w:right="2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025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25900"/>
                          <a:chExt cx="6066790" cy="4025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2944" y="1369338"/>
                            <a:ext cx="18141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20675">
                                <a:moveTo>
                                  <a:pt x="181372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13725" y="320382"/>
                                </a:lnTo>
                                <a:lnTo>
                                  <a:pt x="1813725" y="315214"/>
                                </a:lnTo>
                                <a:close/>
                              </a:path>
                              <a:path w="1814195" h="320675">
                                <a:moveTo>
                                  <a:pt x="181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13725" y="5168"/>
                                </a:lnTo>
                                <a:lnTo>
                                  <a:pt x="181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17pt;mso-position-horizontal-relative:page;mso-position-vertical-relative:page;z-index:-15793664" id="docshapegroup1" coordorigin="1341,560" coordsize="9554,6340">
                <v:rect style="position:absolute;left:1341;top:5108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126" type="#_x0000_t75" id="docshape4" stroked="false">
                  <v:imagedata r:id="rId10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78;top:2716;width:2857;height:505" id="docshape6" coordorigin="7078,2716" coordsize="2857,505" path="m9934,3213l7078,3213,7078,3221,9934,3221,9934,3213xm9934,2716l7078,2716,7078,2725,9934,2725,9934,271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Stacie is an accomplished business transactional attorney with a focus on intellectual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and technology law.</w:t>
      </w:r>
    </w:p>
    <w:p>
      <w:pPr>
        <w:pStyle w:val="BodyText"/>
        <w:spacing w:line="295" w:lineRule="auto" w:before="186"/>
        <w:ind w:left="104" w:right="291"/>
      </w:pPr>
      <w:r>
        <w:rPr>
          <w:color w:val="6E6158"/>
        </w:rPr>
        <w:t>With a forward-looking approach, Stacie advises clients on emerging issues including, domain</w:t>
      </w:r>
      <w:r>
        <w:rPr>
          <w:color w:val="6E6158"/>
          <w:spacing w:val="40"/>
        </w:rPr>
        <w:t> </w:t>
      </w:r>
      <w:r>
        <w:rPr>
          <w:color w:val="6E6158"/>
        </w:rPr>
        <w:t>name disputes, social media, and data privacy matters; she works to ensure her clients are well-</w:t>
      </w:r>
      <w:r>
        <w:rPr>
          <w:color w:val="6E6158"/>
          <w:spacing w:val="40"/>
        </w:rPr>
        <w:t> </w:t>
      </w:r>
      <w:r>
        <w:rPr>
          <w:color w:val="6E6158"/>
        </w:rPr>
        <w:t>equipped to navigate the evolving business landscape. Her practice also encompasses</w:t>
      </w:r>
      <w:r>
        <w:rPr>
          <w:color w:val="6E6158"/>
          <w:spacing w:val="40"/>
        </w:rPr>
        <w:t> </w:t>
      </w:r>
      <w:r>
        <w:rPr>
          <w:color w:val="6E6158"/>
        </w:rPr>
        <w:t>managing</w:t>
      </w:r>
      <w:r>
        <w:rPr>
          <w:color w:val="6E6158"/>
          <w:spacing w:val="40"/>
        </w:rPr>
        <w:t> </w:t>
      </w:r>
      <w:r>
        <w:rPr>
          <w:color w:val="6E6158"/>
        </w:rPr>
        <w:t>domestic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international</w:t>
      </w:r>
      <w:r>
        <w:rPr>
          <w:color w:val="6E6158"/>
          <w:spacing w:val="40"/>
        </w:rPr>
        <w:t> </w:t>
      </w:r>
      <w:r>
        <w:rPr>
          <w:color w:val="6E6158"/>
        </w:rPr>
        <w:t>trademark</w:t>
      </w:r>
      <w:r>
        <w:rPr>
          <w:color w:val="6E6158"/>
          <w:spacing w:val="40"/>
        </w:rPr>
        <w:t> </w:t>
      </w:r>
      <w:r>
        <w:rPr>
          <w:color w:val="6E6158"/>
        </w:rPr>
        <w:t>portfolios,</w:t>
      </w:r>
      <w:r>
        <w:rPr>
          <w:color w:val="6E6158"/>
          <w:spacing w:val="40"/>
        </w:rPr>
        <w:t> </w:t>
      </w:r>
      <w:r>
        <w:rPr>
          <w:color w:val="6E6158"/>
        </w:rPr>
        <w:t>copyright</w:t>
      </w:r>
      <w:r>
        <w:rPr>
          <w:color w:val="6E6158"/>
          <w:spacing w:val="40"/>
        </w:rPr>
        <w:t> </w:t>
      </w:r>
      <w:r>
        <w:rPr>
          <w:color w:val="6E6158"/>
        </w:rPr>
        <w:t>registration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  <w:ind w:left="104"/>
      </w:pPr>
      <w:r>
        <w:rPr>
          <w:color w:val="6E6158"/>
        </w:rPr>
        <w:t>protection,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counseling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intellectual</w:t>
      </w:r>
      <w:r>
        <w:rPr>
          <w:color w:val="6E6158"/>
          <w:spacing w:val="15"/>
        </w:rPr>
        <w:t> </w:t>
      </w:r>
      <w:r>
        <w:rPr>
          <w:color w:val="6E6158"/>
        </w:rPr>
        <w:t>property</w:t>
      </w:r>
      <w:r>
        <w:rPr>
          <w:color w:val="6E6158"/>
          <w:spacing w:val="15"/>
        </w:rPr>
        <w:t> </w:t>
      </w:r>
      <w:r>
        <w:rPr>
          <w:color w:val="6E6158"/>
        </w:rPr>
        <w:t>protection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enforcement.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291"/>
      </w:pPr>
      <w:r>
        <w:rPr>
          <w:color w:val="6E6158"/>
        </w:rPr>
        <w:t>Stacie’s journey at Fennemore began as a paralegal, and she has since risen to become a</w:t>
      </w:r>
      <w:r>
        <w:rPr>
          <w:color w:val="6E6158"/>
          <w:spacing w:val="40"/>
        </w:rPr>
        <w:t> </w:t>
      </w:r>
      <w:r>
        <w:rPr>
          <w:color w:val="6E6158"/>
        </w:rPr>
        <w:t>trusted advisor to clients ranging from innovative start-ups to established corporations </w:t>
      </w:r>
      <w:r>
        <w:rPr>
          <w:color w:val="6E6158"/>
        </w:rPr>
        <w:t>across</w:t>
      </w:r>
      <w:r>
        <w:rPr>
          <w:color w:val="6E6158"/>
          <w:spacing w:val="40"/>
        </w:rPr>
        <w:t> </w:t>
      </w:r>
      <w:r>
        <w:rPr>
          <w:color w:val="6E6158"/>
        </w:rPr>
        <w:t>diverse</w:t>
      </w:r>
      <w:r>
        <w:rPr>
          <w:color w:val="6E6158"/>
          <w:spacing w:val="40"/>
        </w:rPr>
        <w:t> </w:t>
      </w:r>
      <w:r>
        <w:rPr>
          <w:color w:val="6E6158"/>
        </w:rPr>
        <w:t>industries,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software,</w:t>
      </w:r>
      <w:r>
        <w:rPr>
          <w:color w:val="6E6158"/>
          <w:spacing w:val="40"/>
        </w:rPr>
        <w:t> </w:t>
      </w:r>
      <w:r>
        <w:rPr>
          <w:color w:val="6E6158"/>
        </w:rPr>
        <w:t>electronics,</w:t>
      </w:r>
      <w:r>
        <w:rPr>
          <w:color w:val="6E6158"/>
          <w:spacing w:val="40"/>
        </w:rPr>
        <w:t> </w:t>
      </w:r>
      <w:r>
        <w:rPr>
          <w:color w:val="6E6158"/>
        </w:rPr>
        <w:t>internet,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estate,</w:t>
      </w:r>
      <w:r>
        <w:rPr>
          <w:color w:val="6E6158"/>
          <w:spacing w:val="40"/>
        </w:rPr>
        <w:t> </w:t>
      </w:r>
      <w:r>
        <w:rPr>
          <w:color w:val="6E6158"/>
        </w:rPr>
        <w:t>personal</w:t>
      </w:r>
      <w:r>
        <w:rPr>
          <w:color w:val="6E6158"/>
          <w:spacing w:val="40"/>
        </w:rPr>
        <w:t> </w:t>
      </w:r>
      <w:r>
        <w:rPr>
          <w:color w:val="6E6158"/>
        </w:rPr>
        <w:t>products,</w:t>
      </w:r>
    </w:p>
    <w:p>
      <w:pPr>
        <w:pStyle w:val="BodyText"/>
        <w:spacing w:line="292" w:lineRule="auto"/>
        <w:ind w:left="104" w:right="291"/>
      </w:pPr>
      <w:r>
        <w:rPr>
          <w:color w:val="6E6158"/>
        </w:rPr>
        <w:t>gaming, and toys. She serves as a core member of the firm’s practice supporting start-up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companies.</w:t>
      </w:r>
    </w:p>
    <w:p>
      <w:pPr>
        <w:pStyle w:val="BodyText"/>
        <w:spacing w:line="292" w:lineRule="auto" w:before="201"/>
        <w:ind w:left="104" w:right="88"/>
      </w:pPr>
      <w:r>
        <w:rPr>
          <w:color w:val="6E6158"/>
        </w:rPr>
        <w:t>As the Phoenix Office Managing Partner and a member of the firm’s seven-person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committee, Stacie plays a pivotal role in the firm’s management. Stacie is an avid reader and</w:t>
      </w:r>
      <w:r>
        <w:rPr>
          <w:color w:val="6E6158"/>
          <w:spacing w:val="40"/>
        </w:rPr>
        <w:t> </w:t>
      </w:r>
      <w:r>
        <w:rPr>
          <w:color w:val="6E6158"/>
        </w:rPr>
        <w:t>enjoys swimming and spending time with her family and friends.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spacing w:line="283" w:lineRule="auto" w:before="155"/>
        <w:ind w:left="853" w:right="2376" w:hanging="497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250775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6069pt;width:1.65pt;height:1.65pt;mso-position-horizontal-relative:page;mso-position-vertical-relative:paragraph;z-index:15729152" id="docshape7" coordorigin="1675,395" coordsize="33,33" path="m1696,427l1687,427,1683,426,1676,420,1675,416,1675,407,1676,403,1683,397,1687,395,1696,395,1699,397,1706,403,1707,407,1707,411,1707,416,1706,420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338619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62966pt;width:1.65pt;height:1.65pt;mso-position-horizontal-relative:page;mso-position-vertical-relative:paragraph;z-index:15729664" id="docshape8" coordorigin="2171,533" coordsize="33,33" path="m2192,566l2183,566,2179,564,2173,558,2171,554,2171,545,2173,541,2179,535,2183,533,2192,533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Arizona State University, Sandra Day O’Connor College of </w:t>
      </w:r>
      <w:r>
        <w:rPr>
          <w:color w:val="6E6158"/>
          <w:sz w:val="19"/>
        </w:rPr>
        <w:t>Law</w:t>
      </w:r>
      <w:r>
        <w:rPr>
          <w:color w:val="6E6158"/>
          <w:sz w:val="19"/>
        </w:rPr>
        <w:t> Case Note Editor, </w:t>
      </w:r>
      <w:r>
        <w:rPr>
          <w:i/>
          <w:color w:val="6E6158"/>
          <w:sz w:val="20"/>
        </w:rPr>
        <w:t>Arizona State Law Review, </w:t>
      </w:r>
      <w:r>
        <w:rPr>
          <w:color w:val="6E6158"/>
          <w:sz w:val="19"/>
        </w:rPr>
        <w:t>1991-1992</w:t>
      </w:r>
    </w:p>
    <w:p>
      <w:pPr>
        <w:pStyle w:val="BodyText"/>
        <w:spacing w:before="11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145435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51612pt;width:1.65pt;height:1.65pt;mso-position-horizontal-relative:page;mso-position-vertical-relative:paragraph;z-index:15730176" id="docshape9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7"/>
        </w:rPr>
        <w:t> </w:t>
      </w:r>
      <w:r>
        <w:rPr>
          <w:color w:val="6E6158"/>
        </w:rPr>
        <w:t>Political</w:t>
      </w:r>
      <w:r>
        <w:rPr>
          <w:color w:val="6E6158"/>
          <w:spacing w:val="7"/>
        </w:rPr>
        <w:t> </w:t>
      </w:r>
      <w:r>
        <w:rPr>
          <w:color w:val="6E6158"/>
        </w:rPr>
        <w:t>Science,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Arizona,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with</w:t>
      </w:r>
      <w:r>
        <w:rPr>
          <w:color w:val="6E6158"/>
          <w:spacing w:val="7"/>
        </w:rPr>
        <w:t> </w:t>
      </w:r>
      <w:r>
        <w:rPr>
          <w:color w:val="6E6158"/>
        </w:rPr>
        <w:t>highest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distinction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  <w:ind w:left="0" w:right="6795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42" w:right="679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157703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575pt;width:1.65pt;height:1.65pt;mso-position-horizontal-relative:page;mso-position-vertical-relative:paragraph;z-index:15730688" id="docshape1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 w:before="174"/>
        <w:ind w:left="356" w:right="50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712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2224" id="docshape13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Privacy &amp; Data Security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54962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3pt;width:1.65pt;height:1.65pt;mso-position-horizontal-relative:page;mso-position-vertical-relative:paragraph;z-index:15732736" id="docshape14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Heading1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158049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853pt;width:1.65pt;height:1.65pt;mso-position-horizontal-relative:page;mso-position-vertical-relative:paragraph;z-index:15733248" id="docshape15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Managed</w:t>
      </w:r>
      <w:r>
        <w:rPr>
          <w:color w:val="6E6158"/>
          <w:spacing w:val="15"/>
        </w:rPr>
        <w:t> </w:t>
      </w:r>
      <w:r>
        <w:rPr>
          <w:color w:val="6E6158"/>
        </w:rPr>
        <w:t>domestic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international</w:t>
      </w:r>
      <w:r>
        <w:rPr>
          <w:color w:val="6E6158"/>
          <w:spacing w:val="15"/>
        </w:rPr>
        <w:t> </w:t>
      </w:r>
      <w:r>
        <w:rPr>
          <w:color w:val="6E6158"/>
        </w:rPr>
        <w:t>trademark</w:t>
      </w:r>
      <w:r>
        <w:rPr>
          <w:color w:val="6E6158"/>
          <w:spacing w:val="15"/>
        </w:rPr>
        <w:t> </w:t>
      </w:r>
      <w:r>
        <w:rPr>
          <w:color w:val="6E6158"/>
        </w:rPr>
        <w:t>portfolio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publicly</w:t>
      </w:r>
      <w:r>
        <w:rPr>
          <w:color w:val="6E6158"/>
          <w:spacing w:val="15"/>
        </w:rPr>
        <w:t> </w:t>
      </w:r>
      <w:r>
        <w:rPr>
          <w:color w:val="6E6158"/>
        </w:rPr>
        <w:t>traded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companies</w:t>
      </w:r>
    </w:p>
    <w:p>
      <w:pPr>
        <w:pStyle w:val="BodyText"/>
        <w:spacing w:line="297" w:lineRule="auto" w:before="174"/>
        <w:ind w:left="356" w:right="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356000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1521pt;width:1.65pt;height:1.65pt;mso-position-horizontal-relative:page;mso-position-vertical-relative:paragraph;z-index:15733760" id="docshape16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purchaser in the acquisition of a domain name registrar and Internet service</w:t>
      </w:r>
      <w:r>
        <w:rPr>
          <w:color w:val="6E6158"/>
          <w:spacing w:val="40"/>
        </w:rPr>
        <w:t> </w:t>
      </w:r>
      <w:r>
        <w:rPr>
          <w:color w:val="6E6158"/>
        </w:rPr>
        <w:t>provider, including negotiating and drafting numerous ancillary agreements related to the transfer and licensing of software and services.</w:t>
      </w:r>
    </w:p>
    <w:p>
      <w:pPr>
        <w:pStyle w:val="BodyText"/>
        <w:spacing w:line="292" w:lineRule="auto" w:before="118"/>
        <w:ind w:left="356" w:right="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227459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0181pt;width:1.65pt;height:1.65pt;mso-position-horizontal-relative:page;mso-position-vertical-relative:paragraph;z-index:15734272" id="docshape17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purchaser in the acquisition and licensing of patents, trademarks and</w:t>
      </w:r>
      <w:r>
        <w:rPr>
          <w:color w:val="6E6158"/>
          <w:spacing w:val="40"/>
        </w:rPr>
        <w:t> </w:t>
      </w:r>
      <w:r>
        <w:rPr>
          <w:color w:val="6E6158"/>
        </w:rPr>
        <w:t>copyrights</w:t>
      </w:r>
      <w:r>
        <w:rPr>
          <w:color w:val="6E6158"/>
          <w:spacing w:val="17"/>
        </w:rPr>
        <w:t> </w:t>
      </w:r>
      <w:r>
        <w:rPr>
          <w:color w:val="6E6158"/>
        </w:rPr>
        <w:t>related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manufacture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distribution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mobility</w:t>
      </w:r>
      <w:r>
        <w:rPr>
          <w:color w:val="6E6158"/>
          <w:spacing w:val="17"/>
        </w:rPr>
        <w:t> </w:t>
      </w:r>
      <w:r>
        <w:rPr>
          <w:color w:val="6E6158"/>
        </w:rPr>
        <w:t>products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services.</w:t>
      </w:r>
    </w:p>
    <w:p>
      <w:pPr>
        <w:pStyle w:val="BodyText"/>
        <w:spacing w:line="292" w:lineRule="auto" w:before="131"/>
        <w:ind w:left="356" w:right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328990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4779pt;width:1.65pt;height:1.65pt;mso-position-horizontal-relative:page;mso-position-vertical-relative:paragraph;z-index:15734784" id="docshape18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Outside intellectual property counsel for a New York based provider of data, analytics and technology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commercial</w:t>
      </w:r>
      <w:r>
        <w:rPr>
          <w:color w:val="6E6158"/>
          <w:spacing w:val="37"/>
        </w:rPr>
        <w:t> </w:t>
      </w:r>
      <w:r>
        <w:rPr>
          <w:color w:val="6E6158"/>
        </w:rPr>
        <w:t>mortgage-backed</w:t>
      </w:r>
      <w:r>
        <w:rPr>
          <w:color w:val="6E6158"/>
          <w:spacing w:val="37"/>
        </w:rPr>
        <w:t> </w:t>
      </w:r>
      <w:r>
        <w:rPr>
          <w:color w:val="6E6158"/>
        </w:rPr>
        <w:t>securities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commercial</w:t>
      </w:r>
      <w:r>
        <w:rPr>
          <w:color w:val="6E6158"/>
          <w:spacing w:val="37"/>
        </w:rPr>
        <w:t> </w:t>
      </w:r>
      <w:r>
        <w:rPr>
          <w:color w:val="6E6158"/>
        </w:rPr>
        <w:t>real</w:t>
      </w:r>
      <w:r>
        <w:rPr>
          <w:color w:val="6E6158"/>
          <w:spacing w:val="37"/>
        </w:rPr>
        <w:t> </w:t>
      </w:r>
      <w:r>
        <w:rPr>
          <w:color w:val="6E6158"/>
        </w:rPr>
        <w:t>estate</w:t>
      </w:r>
    </w:p>
    <w:p>
      <w:pPr>
        <w:pStyle w:val="BodyText"/>
        <w:spacing w:before="2"/>
        <w:ind w:left="356"/>
      </w:pPr>
      <w:r>
        <w:rPr>
          <w:color w:val="6E6158"/>
          <w:spacing w:val="-2"/>
        </w:rPr>
        <w:t>industry.</w:t>
      </w:r>
    </w:p>
    <w:p>
      <w:pPr>
        <w:pStyle w:val="BodyText"/>
        <w:spacing w:line="292" w:lineRule="auto" w:before="182"/>
        <w:ind w:left="356" w:right="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355748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1673pt;width:1.65pt;height:1.65pt;mso-position-horizontal-relative:page;mso-position-vertical-relative:paragraph;z-index:15735296" id="docshape19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and drafted software license agreements, joint development agreements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service provider agreements as outside intellectual property counsel for a national waste</w:t>
      </w:r>
      <w:r>
        <w:rPr>
          <w:color w:val="6E6158"/>
          <w:spacing w:val="40"/>
        </w:rPr>
        <w:t> </w:t>
      </w:r>
      <w:r>
        <w:rPr>
          <w:color w:val="6E6158"/>
        </w:rPr>
        <w:t>disposal company.</w:t>
      </w:r>
    </w:p>
    <w:p>
      <w:pPr>
        <w:pStyle w:val="Heading1"/>
        <w:spacing w:before="28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168045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31927pt;width:1.65pt;height:1.65pt;mso-position-horizontal-relative:page;mso-position-vertical-relative:paragraph;z-index:15735808" id="docshape20" coordorigin="1675,265" coordsize="33,33" path="m1696,297l1687,297,1683,296,1676,289,1675,285,1675,276,1676,273,1683,266,1687,265,1696,265,1699,266,1706,273,1707,276,1707,281,1707,285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Secrets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152696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359pt;width:1.65pt;height:1.65pt;mso-position-horizontal-relative:page;mso-position-vertical-relative:paragraph;z-index:15736320" id="docshape2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Cost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Photograph,”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January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23,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spacing w:line="278" w:lineRule="auto" w:before="164"/>
        <w:ind w:left="356" w:right="8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262803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165pt;width:1.65pt;height:1.65pt;mso-position-horizontal-relative:page;mso-position-vertical-relative:paragraph;z-index:15736832" id="docshape22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“Inside the Do’s and Don’ts of How to Name Your Company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October 31, 2018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152383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715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North</w:t>
      </w:r>
      <w:r>
        <w:rPr>
          <w:color w:val="6E6158"/>
          <w:spacing w:val="8"/>
        </w:rPr>
        <w:t> </w:t>
      </w:r>
      <w:r>
        <w:rPr>
          <w:color w:val="6E6158"/>
        </w:rPr>
        <w:t>Central</w:t>
      </w:r>
      <w:r>
        <w:rPr>
          <w:color w:val="6E6158"/>
          <w:spacing w:val="8"/>
        </w:rPr>
        <w:t> </w:t>
      </w:r>
      <w:r>
        <w:rPr>
          <w:color w:val="6E6158"/>
        </w:rPr>
        <w:t>Women’s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League</w:t>
      </w:r>
    </w:p>
    <w:p>
      <w:pPr>
        <w:pStyle w:val="BodyText"/>
        <w:spacing w:line="420" w:lineRule="auto" w:before="174"/>
        <w:ind w:left="356" w:right="28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175280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625pt;width:1.65pt;height:1.65pt;mso-position-horizontal-relative:page;mso-position-vertical-relative:paragraph;z-index:15737856" id="docshape2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433646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537pt;width:1.65pt;height:1.65pt;mso-position-horizontal-relative:page;mso-position-vertical-relative:paragraph;z-index:15738368" id="docshape25" coordorigin="1675,683" coordsize="33,33" path="m1696,715l1687,715,1683,714,1676,708,1675,704,1675,695,1676,691,1683,684,1687,683,1696,683,1699,684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Intellectual Property Section, State Bar of </w:t>
      </w:r>
      <w:r>
        <w:rPr>
          <w:color w:val="6E6158"/>
        </w:rPr>
        <w:t>Arizona Member, American Intellectual Property Law Association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157708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02pt;width:1.65pt;height:1.65pt;mso-position-horizontal-relative:page;mso-position-vertical-relative:paragraph;z-index:15738880" id="docshape2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772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intellectual-property-and-ip-litigation/" TargetMode="External"/><Relationship Id="rId6" Type="http://schemas.openxmlformats.org/officeDocument/2006/relationships/hyperlink" Target="https://www.fennemorelaw.com/contact-us/phoenix/" TargetMode="External"/><Relationship Id="rId7" Type="http://schemas.openxmlformats.org/officeDocument/2006/relationships/hyperlink" Target="mailto:ssmith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Relationship Id="rId11" Type="http://schemas.openxmlformats.org/officeDocument/2006/relationships/hyperlink" Target="https://www.fennemorelaw.com/insights/newsletters/2020/the-cost-of-a-photograp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2025-05-01T16:28:34Z</dcterms:created>
  <dcterms:modified xsi:type="dcterms:W3CDTF">2025-05-01T16:28:34Z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