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28628" y="763308"/>
                            <a:ext cx="20554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LEVKULICH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39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7499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2776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9704" y="2226505"/>
                            <a:ext cx="1593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clevkulich@fennemorelaw.com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99;top:2716;width:3215;height:505" id="docshape5" coordorigin="6899,2716" coordsize="3215,505" path="m10113,3213l6899,3213,6899,3221,10113,3221,10113,3213xm10113,2716l6899,2716,6899,2725,10113,2725,1011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8;top:1762;width:323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LEVKULICH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303.813.3841</w:t>
                        </w:r>
                      </w:p>
                    </w:txbxContent>
                  </v:textbox>
                  <w10:wrap type="none"/>
                </v:shape>
                <v:shape style="position:absolute;left:878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62;top:4066;width:250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clevkulich@fennemorelaw.com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CHRIS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LEVKULICH</w:t>
      </w:r>
    </w:p>
    <w:p>
      <w:pPr>
        <w:pStyle w:val="BodyText"/>
        <w:spacing w:line="297" w:lineRule="auto" w:before="147"/>
        <w:ind w:left="104" w:right="191"/>
      </w:pPr>
      <w:r>
        <w:rPr>
          <w:color w:val="6E6158"/>
        </w:rPr>
        <w:t>Chris advises businesses and their owners on matters relating to the taxation of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partnerships, entity formation, mergers and acquisitions, private equity investments, asset sales,</w:t>
      </w:r>
      <w:r>
        <w:rPr>
          <w:color w:val="6E6158"/>
          <w:spacing w:val="40"/>
        </w:rPr>
        <w:t> </w:t>
      </w:r>
      <w:r>
        <w:rPr>
          <w:color w:val="6E6158"/>
        </w:rPr>
        <w:t>and real estate transactions. Chris also counsels individuals in estate planning and general</w:t>
      </w:r>
      <w:r>
        <w:rPr>
          <w:color w:val="6E6158"/>
          <w:spacing w:val="80"/>
        </w:rPr>
        <w:t> </w:t>
      </w:r>
      <w:r>
        <w:rPr>
          <w:color w:val="6E6158"/>
        </w:rPr>
        <w:t>income</w:t>
      </w:r>
      <w:r>
        <w:rPr>
          <w:color w:val="6E6158"/>
          <w:spacing w:val="20"/>
        </w:rPr>
        <w:t> </w:t>
      </w:r>
      <w:r>
        <w:rPr>
          <w:color w:val="6E6158"/>
        </w:rPr>
        <w:t>tax</w:t>
      </w:r>
      <w:r>
        <w:rPr>
          <w:color w:val="6E6158"/>
          <w:spacing w:val="20"/>
        </w:rPr>
        <w:t> </w:t>
      </w:r>
      <w:r>
        <w:rPr>
          <w:color w:val="6E6158"/>
        </w:rPr>
        <w:t>matters.</w:t>
      </w:r>
      <w:r>
        <w:rPr>
          <w:color w:val="6E6158"/>
          <w:spacing w:val="20"/>
        </w:rPr>
        <w:t> </w:t>
      </w:r>
      <w:r>
        <w:rPr>
          <w:color w:val="6E6158"/>
        </w:rPr>
        <w:t>Additionally,</w:t>
      </w:r>
      <w:r>
        <w:rPr>
          <w:color w:val="6E6158"/>
          <w:spacing w:val="20"/>
        </w:rPr>
        <w:t> </w:t>
      </w:r>
      <w:r>
        <w:rPr>
          <w:color w:val="6E6158"/>
        </w:rPr>
        <w:t>Chris</w:t>
      </w:r>
      <w:r>
        <w:rPr>
          <w:color w:val="6E6158"/>
          <w:spacing w:val="20"/>
        </w:rPr>
        <w:t> </w:t>
      </w:r>
      <w:r>
        <w:rPr>
          <w:color w:val="6E6158"/>
        </w:rPr>
        <w:t>represents</w:t>
      </w:r>
      <w:r>
        <w:rPr>
          <w:color w:val="6E6158"/>
          <w:spacing w:val="20"/>
        </w:rPr>
        <w:t> </w:t>
      </w:r>
      <w:r>
        <w:rPr>
          <w:color w:val="6E6158"/>
        </w:rPr>
        <w:t>buyers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sellers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closely</w:t>
      </w:r>
      <w:r>
        <w:rPr>
          <w:color w:val="6E6158"/>
          <w:spacing w:val="20"/>
        </w:rPr>
        <w:t> </w:t>
      </w:r>
      <w:r>
        <w:rPr>
          <w:color w:val="6E6158"/>
        </w:rPr>
        <w:t>held</w:t>
      </w:r>
      <w:r>
        <w:rPr>
          <w:color w:val="6E6158"/>
          <w:spacing w:val="20"/>
        </w:rPr>
        <w:t> </w:t>
      </w:r>
      <w:r>
        <w:rPr>
          <w:color w:val="6E6158"/>
        </w:rPr>
        <w:t>businesses</w:t>
      </w:r>
      <w:r>
        <w:rPr>
          <w:color w:val="6E6158"/>
          <w:spacing w:val="20"/>
        </w:rPr>
        <w:t> </w:t>
      </w:r>
      <w:r>
        <w:rPr>
          <w:color w:val="6E6158"/>
        </w:rPr>
        <w:t>in all aspects of M&amp;A transactions, and advises sponsors in the formation and operation of private</w:t>
      </w:r>
      <w:r>
        <w:rPr>
          <w:color w:val="6E6158"/>
          <w:spacing w:val="40"/>
        </w:rPr>
        <w:t> </w:t>
      </w:r>
      <w:r>
        <w:rPr>
          <w:color w:val="6E6158"/>
        </w:rPr>
        <w:t>equity funds.</w:t>
      </w:r>
    </w:p>
    <w:p>
      <w:pPr>
        <w:pStyle w:val="BodyText"/>
        <w:spacing w:line="297" w:lineRule="auto" w:before="187"/>
        <w:ind w:left="104" w:right="371"/>
      </w:pPr>
      <w:r>
        <w:rPr>
          <w:color w:val="6E6158"/>
        </w:rPr>
        <w:t>Prior to joining Fennemore, Chris worked for a local firm specializing in tax matters and practiced</w:t>
      </w:r>
      <w:r>
        <w:rPr>
          <w:color w:val="6E6158"/>
          <w:spacing w:val="40"/>
        </w:rPr>
        <w:t> </w:t>
      </w:r>
      <w:r>
        <w:rPr>
          <w:color w:val="6E6158"/>
        </w:rPr>
        <w:t>as a CPA at a Big Four accounting firm. Chris’s tenure as a CPA provides him with a unique perspective on the tax and financial reporting aspects of business transactions.</w:t>
      </w:r>
    </w:p>
    <w:p>
      <w:pPr>
        <w:pStyle w:val="BodyText"/>
        <w:spacing w:line="292" w:lineRule="auto" w:before="192"/>
        <w:ind w:left="104" w:right="371"/>
      </w:pPr>
      <w:r>
        <w:rPr>
          <w:color w:val="6E6158"/>
        </w:rPr>
        <w:t>Chris enjoys spending time with his family, golfing, fly fishing, and watching all of Colorado’s</w:t>
      </w:r>
      <w:r>
        <w:rPr>
          <w:color w:val="6E6158"/>
          <w:spacing w:val="40"/>
        </w:rPr>
        <w:t> </w:t>
      </w:r>
      <w:r>
        <w:rPr>
          <w:color w:val="6E6158"/>
        </w:rPr>
        <w:t>sports teams.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51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line="408" w:lineRule="auto" w:before="174"/>
        <w:ind w:right="441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589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433453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230pt;width:1.65pt;height:1.65pt;mso-position-horizontal-relative:page;mso-position-vertical-relative:paragraph;z-index:15730176" id="docshape1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Sturm College of </w:t>
      </w:r>
      <w:r>
        <w:rPr>
          <w:color w:val="6E6158"/>
        </w:rPr>
        <w:t>Law</w:t>
      </w:r>
      <w:r>
        <w:rPr>
          <w:color w:val="6E6158"/>
        </w:rPr>
        <w:t> B.S., Boston College, </w:t>
      </w:r>
      <w:r>
        <w:rPr>
          <w:i/>
          <w:color w:val="6E6158"/>
          <w:sz w:val="20"/>
        </w:rPr>
        <w:t>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157803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463pt;width:1.65pt;height:1.65pt;mso-position-horizontal-relative:page;mso-position-vertical-relative:paragraph;z-index:15730688" id="docshape14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416168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207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420" w:lineRule="auto"/>
        <w:ind w:right="6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59740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015pt;width:1.65pt;height:1.65pt;mso-position-horizontal-relative:page;mso-position-vertical-relative:paragraph;z-index:15731712" id="docshape16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318106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7758pt;width:1.65pt;height:1.65pt;mso-position-horizontal-relative:page;mso-position-vertical-relative:paragraph;z-index:15732224" id="docshape17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Labor Blockchain &amp; </w:t>
      </w:r>
      <w:r>
        <w:rPr>
          <w:color w:val="6E6158"/>
        </w:rPr>
        <w:t>Cryptocurrency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157739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41pt;width:1.65pt;height:1.65pt;mso-position-horizontal-relative:page;mso-position-vertical-relative:paragraph;z-index:15732736" id="docshape1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</w:t>
      </w:r>
      <w:r>
        <w:rPr>
          <w:color w:val="6E6158"/>
          <w:spacing w:val="5"/>
        </w:rPr>
        <w:t> </w:t>
      </w:r>
      <w:r>
        <w:rPr>
          <w:color w:val="6E6158"/>
        </w:rPr>
        <w:t>Magazine</w:t>
      </w:r>
      <w:r>
        <w:rPr>
          <w:color w:val="6E6158"/>
          <w:spacing w:val="6"/>
        </w:rPr>
        <w:t> </w:t>
      </w:r>
      <w:r>
        <w:rPr>
          <w:color w:val="6E6158"/>
        </w:rPr>
        <w:t>Top</w:t>
      </w:r>
      <w:r>
        <w:rPr>
          <w:color w:val="6E6158"/>
          <w:spacing w:val="6"/>
        </w:rPr>
        <w:t> </w:t>
      </w:r>
      <w:r>
        <w:rPr>
          <w:color w:val="6E6158"/>
        </w:rPr>
        <w:t>Tax</w:t>
      </w:r>
      <w:r>
        <w:rPr>
          <w:color w:val="6E6158"/>
          <w:spacing w:val="6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Business</w:t>
      </w:r>
      <w:r>
        <w:rPr>
          <w:color w:val="6E6158"/>
          <w:spacing w:val="5"/>
        </w:rPr>
        <w:t> </w:t>
      </w:r>
      <w:r>
        <w:rPr>
          <w:color w:val="6E6158"/>
        </w:rPr>
        <w:t>Lawyer,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6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262765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0191pt;width:1.65pt;height:1.65pt;mso-position-horizontal-relative:page;mso-position-vertical-relative:paragraph;z-index:15733248" id="docshape19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Ones to Watch – Business Organizations (including LLCs and </w:t>
      </w:r>
      <w:r>
        <w:rPr>
          <w:color w:val="6E6158"/>
        </w:rPr>
        <w:t>partnerships), </w:t>
      </w:r>
      <w:r>
        <w:rPr>
          <w:color w:val="6E6158"/>
          <w:spacing w:val="-2"/>
        </w:rPr>
        <w:t>2024-2025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142713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302pt;width:1.65pt;height:1.65pt;mso-position-horizontal-relative:page;mso-position-vertical-relative:paragraph;z-index:15733760" id="docshape2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Lawyers®,</w:t>
      </w:r>
      <w:r>
        <w:rPr>
          <w:color w:val="6E6158"/>
          <w:spacing w:val="10"/>
        </w:rPr>
        <w:t> </w:t>
      </w:r>
      <w:r>
        <w:rPr>
          <w:color w:val="6E6158"/>
        </w:rPr>
        <w:t>Ones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Watch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Corporate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272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9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Rising</w:t>
      </w:r>
      <w:r>
        <w:rPr>
          <w:color w:val="6E6158"/>
          <w:spacing w:val="9"/>
        </w:rPr>
        <w:t> </w:t>
      </w:r>
      <w:r>
        <w:rPr>
          <w:color w:val="6E6158"/>
        </w:rPr>
        <w:t>Stars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4784" id="docshape2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“Post-U.S.</w:t>
      </w:r>
      <w:r>
        <w:rPr>
          <w:color w:val="6E6158"/>
          <w:spacing w:val="12"/>
        </w:rPr>
        <w:t> </w:t>
      </w:r>
      <w:r>
        <w:rPr>
          <w:color w:val="6E6158"/>
        </w:rPr>
        <w:t>Election</w:t>
      </w:r>
      <w:r>
        <w:rPr>
          <w:color w:val="6E6158"/>
          <w:spacing w:val="11"/>
        </w:rPr>
        <w:t> </w:t>
      </w:r>
      <w:r>
        <w:rPr>
          <w:color w:val="6E6158"/>
        </w:rPr>
        <w:t>Debrief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10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2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Perspectives,”</w:t>
      </w:r>
      <w:r>
        <w:rPr>
          <w:color w:val="6E6158"/>
          <w:spacing w:val="12"/>
        </w:rPr>
        <w:t> </w:t>
      </w:r>
      <w:r>
        <w:rPr>
          <w:color w:val="6E6158"/>
        </w:rPr>
        <w:t>361Firm,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6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268206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8589pt;width:1.65pt;height:1.65pt;mso-position-horizontal-relative:page;mso-position-vertical-relative:paragraph;z-index:15735296" id="docshape2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“Cryptocurrency: Tax and Estate Planning,” Boulder County Estate </w:t>
      </w:r>
      <w:r>
        <w:rPr>
          <w:color w:val="6E6158"/>
        </w:rPr>
        <w:t>Planning Council,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143074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688pt;width:1.65pt;height:1.65pt;mso-position-horizontal-relative:page;mso-position-vertical-relative:paragraph;z-index:15735808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“Corporate</w:t>
      </w:r>
      <w:r>
        <w:rPr>
          <w:color w:val="6E6158"/>
          <w:spacing w:val="13"/>
        </w:rPr>
        <w:t> </w:t>
      </w:r>
      <w:r>
        <w:rPr>
          <w:color w:val="6E6158"/>
        </w:rPr>
        <w:t>Transparency</w:t>
      </w:r>
      <w:r>
        <w:rPr>
          <w:color w:val="6E6158"/>
          <w:spacing w:val="13"/>
        </w:rPr>
        <w:t> </w:t>
      </w:r>
      <w:r>
        <w:rPr>
          <w:color w:val="6E6158"/>
        </w:rPr>
        <w:t>Act:</w:t>
      </w:r>
      <w:r>
        <w:rPr>
          <w:color w:val="6E6158"/>
          <w:spacing w:val="13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2"/>
        </w:rPr>
        <w:t> </w:t>
      </w:r>
      <w:r>
        <w:rPr>
          <w:color w:val="6E6158"/>
        </w:rPr>
        <w:t>Beneficial</w:t>
      </w:r>
      <w:r>
        <w:rPr>
          <w:color w:val="6E6158"/>
          <w:spacing w:val="13"/>
        </w:rPr>
        <w:t> </w:t>
      </w:r>
      <w:r>
        <w:rPr>
          <w:color w:val="6E6158"/>
        </w:rPr>
        <w:t>Owners?,”</w:t>
      </w:r>
      <w:r>
        <w:rPr>
          <w:color w:val="6E6158"/>
          <w:spacing w:val="13"/>
        </w:rPr>
        <w:t> </w:t>
      </w:r>
      <w:r>
        <w:rPr>
          <w:color w:val="6E6158"/>
        </w:rPr>
        <w:t>CPE4U,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268420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5481pt;width:1.65pt;height:1.65pt;mso-position-horizontal-relative:page;mso-position-vertical-relative:paragraph;z-index:15736320" id="docshape2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“Annual</w:t>
      </w:r>
      <w:r>
        <w:rPr>
          <w:color w:val="6E6158"/>
          <w:spacing w:val="15"/>
        </w:rPr>
        <w:t> </w:t>
      </w:r>
      <w:r>
        <w:rPr>
          <w:color w:val="6E6158"/>
        </w:rPr>
        <w:t>Update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Taxation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Pass-Through</w:t>
      </w:r>
      <w:r>
        <w:rPr>
          <w:color w:val="6E6158"/>
          <w:spacing w:val="15"/>
        </w:rPr>
        <w:t> </w:t>
      </w:r>
      <w:r>
        <w:rPr>
          <w:color w:val="6E6158"/>
        </w:rPr>
        <w:t>Entities,”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 – Tax Law Section, 2016 –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224378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637pt;width:1.65pt;height:1.65pt;mso-position-horizontal-relative:page;mso-position-vertical-relative:paragraph;z-index:15736832" id="docshape2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“An Introduction to the Taxation of Cryptocurrency,” Colorado Bar Association – Tax Law Section, March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236073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488pt;width:1.65pt;height:1.65pt;mso-position-horizontal-relative:page;mso-position-vertical-relative:paragraph;z-index:15737344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“Like-Kind Exchanges: Fundamentals and Advanced Practice,” Colorado </w:t>
      </w:r>
      <w:r>
        <w:rPr>
          <w:color w:val="6E6158"/>
        </w:rPr>
        <w:t>Bar Association,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136572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3769pt;width:1.65pt;height:1.65pt;mso-position-horizontal-relative:page;mso-position-vertical-relative:paragraph;z-index:15737856" id="docshape28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“Pass-Through</w:t>
      </w:r>
      <w:r>
        <w:rPr>
          <w:color w:val="6E6158"/>
          <w:spacing w:val="12"/>
        </w:rPr>
        <w:t> </w:t>
      </w:r>
      <w:r>
        <w:rPr>
          <w:color w:val="6E6158"/>
        </w:rPr>
        <w:t>Entities:</w:t>
      </w:r>
      <w:r>
        <w:rPr>
          <w:color w:val="6E6158"/>
          <w:spacing w:val="13"/>
        </w:rPr>
        <w:t> </w:t>
      </w:r>
      <w:r>
        <w:rPr>
          <w:color w:val="6E6158"/>
        </w:rPr>
        <w:t>Critical</w:t>
      </w:r>
      <w:r>
        <w:rPr>
          <w:color w:val="6E6158"/>
          <w:spacing w:val="12"/>
        </w:rPr>
        <w:t> </w:t>
      </w:r>
      <w:r>
        <w:rPr>
          <w:color w:val="6E6158"/>
        </w:rPr>
        <w:t>Operating</w:t>
      </w:r>
      <w:r>
        <w:rPr>
          <w:color w:val="6E6158"/>
          <w:spacing w:val="12"/>
        </w:rPr>
        <w:t> </w:t>
      </w:r>
      <w:r>
        <w:rPr>
          <w:color w:val="6E6158"/>
        </w:rPr>
        <w:t>Issues,”</w:t>
      </w:r>
      <w:r>
        <w:rPr>
          <w:color w:val="6E6158"/>
          <w:spacing w:val="13"/>
        </w:rPr>
        <w:t> </w:t>
      </w:r>
      <w:r>
        <w:rPr>
          <w:color w:val="6E6158"/>
        </w:rPr>
        <w:t>CPE4U,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4"/>
        <w:ind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268269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562pt;width:1.65pt;height:1.65pt;mso-position-horizontal-relative:page;mso-position-vertical-relative:paragraph;z-index:15738368" id="docshape2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Cuts and Jobs Act of 2017: Choice of Entity and Planning Considerations After Tax Reform,” Business Law Institute,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224227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720pt;width:1.65pt;height:1.65pt;mso-position-horizontal-relative:page;mso-position-vertical-relative:paragraph;z-index:15738880" id="docshape3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“2017 TCJA: In-Depth Look at Taxation of Pass-Through Entities,” Colorado Bar Association, 2018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677pt;width:1.65pt;height:1.65pt;mso-position-horizontal-relative:page;mso-position-vertical-relative:paragraph;z-index:15739392" id="docshape3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right="3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175192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2pt;width:1.65pt;height:1.65pt;mso-position-horizontal-relative:page;mso-position-vertical-relative:paragraph;z-index:15739904" id="docshape3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438725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5345pt;width:1.65pt;height:1.65pt;mso-position-horizontal-relative:page;mso-position-vertical-relative:paragraph;z-index:15740416" id="docshape33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Institute of Certified Public </w:t>
      </w:r>
      <w:r>
        <w:rPr>
          <w:color w:val="6E6158"/>
        </w:rPr>
        <w:t>Accountants Board of Governors, Colorado Bar Association</w:t>
      </w:r>
    </w:p>
    <w:p>
      <w:pPr>
        <w:pStyle w:val="BodyText"/>
        <w:spacing w:line="427" w:lineRule="auto"/>
        <w:ind w:right="20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63780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12pt;width:1.65pt;height:1.65pt;mso-position-horizontal-relative:page;mso-position-vertical-relative:paragraph;z-index:15740928" id="docshape3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322146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862pt;width:1.65pt;height:1.65pt;mso-position-horizontal-relative:page;mso-position-vertical-relative:paragraph;z-index:15741440" id="docshape3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Tax Section, Executive Council </w:t>
      </w:r>
      <w:r>
        <w:rPr>
          <w:color w:val="6E6158"/>
        </w:rPr>
        <w:t>Member Colorado Society of Certified Public Accountants</w:t>
      </w:r>
    </w:p>
    <w:p>
      <w:pPr>
        <w:pStyle w:val="BodyText"/>
        <w:spacing w:line="420" w:lineRule="auto"/>
        <w:ind w:right="1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53896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38pt;width:1.65pt;height:1.65pt;mso-position-horizontal-relative:page;mso-position-vertical-relative:paragraph;z-index:15741952" id="docshape36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317429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4415pt;width:1.65pt;height:1.65pt;mso-position-horizontal-relative:page;mso-position-vertical-relative:paragraph;z-index:15742464" id="docshape37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Association, Young Lawyers Division, Executive Council </w:t>
      </w:r>
      <w:r>
        <w:rPr>
          <w:color w:val="6E6158"/>
        </w:rPr>
        <w:t>Member Former Certified Public Accountant, Colorado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58054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1190pt;width:1.65pt;height:1.65pt;mso-position-horizontal-relative:page;mso-position-vertical-relative:paragraph;z-index:15742976" id="docshape38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Advisory</w:t>
      </w:r>
      <w:r>
        <w:rPr>
          <w:color w:val="6E6158"/>
          <w:spacing w:val="11"/>
        </w:rPr>
        <w:t> </w:t>
      </w:r>
      <w:r>
        <w:rPr>
          <w:color w:val="6E6158"/>
        </w:rPr>
        <w:t>Board,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Lawyer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152776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682pt;width:1.65pt;height:1.65pt;mso-position-horizontal-relative:page;mso-position-vertical-relative:paragraph;z-index:15743488" id="docshape3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175038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592pt;width:1.65pt;height:1.65pt;mso-position-horizontal-relative:page;mso-position-vertical-relative:paragraph;z-index:15744000" id="docshape4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evkulic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2025-06-24T16:53:03Z</dcterms:created>
  <dcterms:modified xsi:type="dcterms:W3CDTF">2025-06-24T16:53:03Z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