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694466" y="763308"/>
                            <a:ext cx="1723389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GRAHAM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VAN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LEUVEN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90358" y="21334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559.446.3257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09403" y="2500373"/>
                            <a:ext cx="16935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gvanleuven@fennemorelaw.com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159;top:1762;width:2714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GRAHAM</w:t>
                        </w:r>
                        <w:r>
                          <w:rPr>
                            <w:color w:val="FFFFFF"/>
                            <w:spacing w:val="-2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VAN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LEUVEN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919;width:52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559.446.3257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182;top:4497;width:2667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gvanleuven@fennemorelaw.com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GRAHAM</w:t>
      </w:r>
      <w:r>
        <w:rPr>
          <w:color w:val="FF8100"/>
          <w:spacing w:val="9"/>
        </w:rPr>
        <w:t> </w:t>
      </w:r>
      <w:r>
        <w:rPr>
          <w:color w:val="FF8100"/>
        </w:rPr>
        <w:t>VAN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LEUVEN</w:t>
      </w:r>
    </w:p>
    <w:p>
      <w:pPr>
        <w:pStyle w:val="BodyText"/>
        <w:spacing w:line="295" w:lineRule="auto" w:before="146"/>
        <w:ind w:left="104" w:right="43"/>
      </w:pPr>
      <w:r>
        <w:rPr>
          <w:color w:val="6E6158"/>
        </w:rPr>
        <w:t>Graham Van Leuven is an attorney in our firm’s </w:t>
      </w:r>
      <w:hyperlink r:id="rId8">
        <w:r>
          <w:rPr>
            <w:color w:val="F5821F"/>
          </w:rPr>
          <w:t>Business Litigation</w:t>
        </w:r>
      </w:hyperlink>
      <w:r>
        <w:rPr>
          <w:color w:val="F5821F"/>
        </w:rPr>
        <w:t> </w:t>
      </w:r>
      <w:r>
        <w:rPr>
          <w:color w:val="6E6158"/>
        </w:rPr>
        <w:t>practice group. He has a proven track record litigating multi-million-dollar lawsuits, including issues of first impression in</w:t>
      </w:r>
      <w:r>
        <w:rPr>
          <w:color w:val="6E6158"/>
          <w:spacing w:val="40"/>
        </w:rPr>
        <w:t> </w:t>
      </w:r>
      <w:r>
        <w:rPr>
          <w:color w:val="6E6158"/>
        </w:rPr>
        <w:t>both trial and appellate courts. Additionally, Graham has experience advising on cyber and</w:t>
      </w:r>
      <w:r>
        <w:rPr>
          <w:color w:val="6E6158"/>
          <w:spacing w:val="40"/>
        </w:rPr>
        <w:t> </w:t>
      </w:r>
      <w:r>
        <w:rPr>
          <w:color w:val="6E6158"/>
        </w:rPr>
        <w:t>privacy incidents and analyzing issues of liability for hundreds of cases involving sensitive</w:t>
      </w:r>
      <w:r>
        <w:rPr>
          <w:color w:val="6E6158"/>
          <w:spacing w:val="40"/>
        </w:rPr>
        <w:t> </w:t>
      </w:r>
      <w:r>
        <w:rPr>
          <w:color w:val="6E6158"/>
        </w:rPr>
        <w:t>personal and health records. He also has a background evaluating consumer privacy </w:t>
      </w:r>
      <w:r>
        <w:rPr>
          <w:color w:val="6E6158"/>
        </w:rPr>
        <w:t>lawsuits</w:t>
      </w:r>
      <w:r>
        <w:rPr>
          <w:color w:val="6E6158"/>
          <w:spacing w:val="40"/>
        </w:rPr>
        <w:t> </w:t>
      </w:r>
      <w:r>
        <w:rPr>
          <w:color w:val="6E6158"/>
        </w:rPr>
        <w:t>and guiding clients through regulatory investigations in sectors ranging from technology to</w:t>
      </w:r>
      <w:r>
        <w:rPr>
          <w:color w:val="6E6158"/>
          <w:spacing w:val="40"/>
        </w:rPr>
        <w:t> </w:t>
      </w:r>
      <w:r>
        <w:rPr>
          <w:color w:val="6E6158"/>
        </w:rPr>
        <w:t>healthcare and public entities.</w:t>
      </w:r>
    </w:p>
    <w:p>
      <w:pPr>
        <w:pStyle w:val="BodyText"/>
        <w:spacing w:line="297" w:lineRule="auto" w:before="200"/>
        <w:ind w:left="104" w:right="139"/>
      </w:pPr>
      <w:r>
        <w:rPr>
          <w:color w:val="6E6158"/>
        </w:rPr>
        <w:t>Prior to joining Fennemore, Graham was a partner in a regional law firm focused on complex</w:t>
      </w:r>
      <w:r>
        <w:rPr>
          <w:color w:val="6E6158"/>
          <w:spacing w:val="40"/>
        </w:rPr>
        <w:t> </w:t>
      </w:r>
      <w:r>
        <w:rPr>
          <w:color w:val="6E6158"/>
        </w:rPr>
        <w:t>insurance litigation matters, including personal injury, privacy torts, coverage and bad faith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claims.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39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157952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224pt;width:1.65pt;height:1.65pt;mso-position-horizontal-relative:page;mso-position-vertical-relative:paragraph;z-index:15729152" id="docshape1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416318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991pt;width:1.65pt;height:1.65pt;mso-position-horizontal-relative:page;mso-position-vertical-relative:paragraph;z-index:15729664" id="docshape12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George Washington University Law </w:t>
      </w:r>
      <w:r>
        <w:rPr>
          <w:color w:val="6E6158"/>
        </w:rPr>
        <w:t>School</w:t>
      </w:r>
      <w:r>
        <w:rPr>
          <w:color w:val="6E6158"/>
        </w:rPr>
        <w:t> B.A., University of California, Berkeley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152445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619pt;width:1.65pt;height:1.65pt;mso-position-horizontal-relative:page;mso-position-vertical-relative:paragraph;z-index:15730176" id="docshape1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157981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9514pt;width:1.65pt;height:1.65pt;mso-position-horizontal-relative:page;mso-position-vertical-relative:paragraph;z-index:15730688" id="docshape14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Fresno</w:t>
      </w:r>
      <w:r>
        <w:rPr>
          <w:color w:val="6E6158"/>
          <w:spacing w:val="14"/>
        </w:rPr>
        <w:t> </w:t>
      </w:r>
      <w:r>
        <w:rPr>
          <w:color w:val="6E6158"/>
        </w:rPr>
        <w:t>Philharmonic</w:t>
      </w:r>
      <w:r>
        <w:rPr>
          <w:color w:val="6E6158"/>
          <w:spacing w:val="14"/>
        </w:rPr>
        <w:t> </w:t>
      </w:r>
      <w:r>
        <w:rPr>
          <w:color w:val="6E6158"/>
        </w:rPr>
        <w:t>Board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Directors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  <w:ind w:left="56" w:right="737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37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157715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8514pt;width:1.65pt;height:1.65pt;mso-position-horizontal-relative:page;mso-position-vertical-relative:paragraph;z-index:15731200" id="docshape15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8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175444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4552pt;width:1.65pt;height:1.65pt;mso-position-horizontal-relative:page;mso-position-vertical-relative:paragraph;z-index:15731712" id="docshape16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174847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7487pt;width:1.65pt;height:1.65pt;mso-position-horizontal-relative:page;mso-position-vertical-relative:paragraph;z-index:15732224" id="docshape17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175431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3524pt;width:1.65pt;height:1.65pt;mso-position-horizontal-relative:page;mso-position-vertical-relative:paragraph;z-index:15732736" id="docshape18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175381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9563pt;width:1.65pt;height:1.65pt;mso-position-horizontal-relative:page;mso-position-vertical-relative:paragraph;z-index:15733248" id="docshape1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Southern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80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3760" id="docshape20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10"/>
        </w:rPr>
        <w:t> </w:t>
      </w:r>
      <w:r>
        <w:rPr>
          <w:color w:val="6E6158"/>
        </w:rPr>
        <w:t>States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gvanleuve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2025-06-05T15:20:58Z</dcterms:created>
  <dcterms:modified xsi:type="dcterms:W3CDTF">2025-06-05T15:20:58Z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2025-06-05T00:00:00Z</vt:filetime>
  </property>
  <property fmtid="{D5CDD505-2E9C-101B-9397-08002B2CF9AE}" pid="5" name="Producer">
    <vt:lpwstr>Skia/PDF m117</vt:lpwstr>
  </property>
</Properties>
</file>