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6033" y="763308"/>
                            <a:ext cx="20808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JOSEPH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DOERR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9120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34146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4342" y="2226505"/>
                            <a:ext cx="13836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jdoerr@fennemorelaw.com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74;top:2716;width:3264;height:505" id="docshape5" coordorigin="6875,2716" coordsize="3264,505" path="m10138,3213l6875,3213,6875,3221,10138,3221,10138,3213xm10138,2716l6875,2716,6875,2725,10138,2725,10138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8;top:1762;width:327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JOSEPH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DOERR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96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559.753.2803</w:t>
                        </w:r>
                      </w:p>
                    </w:txbxContent>
                  </v:textbox>
                  <w10:wrap type="none"/>
                </v:shape>
                <v:shape style="position:absolute;left:8796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559.753.2803</w:t>
                        </w:r>
                      </w:p>
                    </w:txbxContent>
                  </v:textbox>
                  <w10:wrap type="none"/>
                </v:shape>
                <v:shape style="position:absolute;left:7426;top:4066;width:217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jdoerr@fennemorelaw.com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JOSEPH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DOERR</w:t>
      </w:r>
    </w:p>
    <w:p>
      <w:pPr>
        <w:pStyle w:val="BodyText"/>
        <w:spacing w:line="295" w:lineRule="auto" w:before="147"/>
        <w:ind w:left="104" w:right="419"/>
      </w:pPr>
      <w:r>
        <w:rPr>
          <w:color w:val="6E6158"/>
        </w:rPr>
        <w:t>Joseph J. Doerr is a director in our firm’s Fresno office where he is certified by the California</w:t>
      </w:r>
      <w:r>
        <w:rPr>
          <w:color w:val="6E6158"/>
          <w:spacing w:val="40"/>
        </w:rPr>
        <w:t> </w:t>
      </w:r>
      <w:r>
        <w:rPr>
          <w:color w:val="6E6158"/>
        </w:rPr>
        <w:t>Board of Legal Specialization as a specialist in taxation law. In his practice, Joe is known for</w:t>
      </w:r>
      <w:r>
        <w:rPr>
          <w:color w:val="6E6158"/>
          <w:spacing w:val="40"/>
        </w:rPr>
        <w:t> </w:t>
      </w:r>
      <w:r>
        <w:rPr>
          <w:color w:val="6E6158"/>
        </w:rPr>
        <w:t>providing insightful counsel to both individuals and businesses in tax planning and tax controversy</w:t>
      </w:r>
      <w:r>
        <w:rPr>
          <w:color w:val="6E6158"/>
          <w:spacing w:val="37"/>
        </w:rPr>
        <w:t> </w:t>
      </w:r>
      <w:r>
        <w:rPr>
          <w:color w:val="6E6158"/>
        </w:rPr>
        <w:t>resolution.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includes</w:t>
      </w:r>
      <w:r>
        <w:rPr>
          <w:color w:val="6E6158"/>
          <w:spacing w:val="37"/>
        </w:rPr>
        <w:t> </w:t>
      </w:r>
      <w:r>
        <w:rPr>
          <w:color w:val="6E6158"/>
        </w:rPr>
        <w:t>handling</w:t>
      </w:r>
      <w:r>
        <w:rPr>
          <w:color w:val="6E6158"/>
          <w:spacing w:val="37"/>
        </w:rPr>
        <w:t> </w:t>
      </w:r>
      <w:r>
        <w:rPr>
          <w:color w:val="6E6158"/>
        </w:rPr>
        <w:t>cases,</w:t>
      </w:r>
      <w:r>
        <w:rPr>
          <w:color w:val="6E6158"/>
          <w:spacing w:val="37"/>
        </w:rPr>
        <w:t> </w:t>
      </w:r>
      <w:r>
        <w:rPr>
          <w:color w:val="6E6158"/>
        </w:rPr>
        <w:t>appeals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audits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</w:p>
    <w:p>
      <w:pPr>
        <w:pStyle w:val="BodyText"/>
        <w:spacing w:line="292" w:lineRule="auto" w:before="9"/>
        <w:ind w:left="104" w:right="159"/>
      </w:pPr>
      <w:r>
        <w:rPr>
          <w:color w:val="6E6158"/>
        </w:rPr>
        <w:t>domestic tax bodies like the IRS, FTB, EDD, and CDTFA, as well as offering advice on international</w:t>
      </w:r>
      <w:r>
        <w:rPr>
          <w:color w:val="6E6158"/>
          <w:spacing w:val="40"/>
        </w:rPr>
        <w:t> </w:t>
      </w:r>
      <w:r>
        <w:rPr>
          <w:color w:val="6E6158"/>
        </w:rPr>
        <w:t>tax matters.</w:t>
      </w:r>
    </w:p>
    <w:p>
      <w:pPr>
        <w:pStyle w:val="BodyText"/>
        <w:spacing w:line="295" w:lineRule="auto" w:before="197"/>
        <w:ind w:left="104" w:right="419"/>
      </w:pPr>
      <w:r>
        <w:rPr>
          <w:color w:val="6E6158"/>
        </w:rPr>
        <w:t>Beyond taxation, he also guides new businesses through stages of inception, including entity</w:t>
      </w:r>
      <w:r>
        <w:rPr>
          <w:color w:val="6E6158"/>
          <w:spacing w:val="40"/>
        </w:rPr>
        <w:t> </w:t>
      </w:r>
      <w:r>
        <w:rPr>
          <w:color w:val="6E6158"/>
        </w:rPr>
        <w:t>structure and formation. He also counsels established businesses with restructuring,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acquisitions, and capital needs. His understanding of trust administration and estate planning</w:t>
      </w:r>
      <w:r>
        <w:rPr>
          <w:color w:val="6E6158"/>
          <w:spacing w:val="40"/>
        </w:rPr>
        <w:t> </w:t>
      </w:r>
      <w:r>
        <w:rPr>
          <w:color w:val="6E6158"/>
        </w:rPr>
        <w:t>offers families comprehensive estate plans tailored to their needs, including generation </w:t>
      </w:r>
      <w:r>
        <w:rPr>
          <w:color w:val="6E6158"/>
        </w:rPr>
        <w:t>skipping</w:t>
      </w:r>
      <w:r>
        <w:rPr>
          <w:color w:val="6E6158"/>
          <w:spacing w:val="40"/>
        </w:rPr>
        <w:t> </w:t>
      </w:r>
      <w:r>
        <w:rPr>
          <w:color w:val="6E6158"/>
        </w:rPr>
        <w:t>trusts and other complex irrevocable trusts.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157693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82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83pt;width:1.65pt;height:1.65pt;mso-position-horizontal-relative:page;mso-position-vertical-relative:paragraph;z-index:15729664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Davis,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175460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817pt;width:1.65pt;height:1.65pt;mso-position-horizontal-relative:page;mso-position-vertical-relative:paragraph;z-index:15730176" id="docshape1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Santa</w:t>
      </w:r>
      <w:r>
        <w:rPr>
          <w:color w:val="6E6158"/>
          <w:spacing w:val="14"/>
        </w:rPr>
        <w:t> </w:t>
      </w:r>
      <w:r>
        <w:rPr>
          <w:color w:val="6E6158"/>
        </w:rPr>
        <w:t>Barbara,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158049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817pt;width:1.65pt;height:1.65pt;mso-position-horizontal-relative:page;mso-position-vertical-relative:paragraph;z-index:15730688" id="docshape14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left="356" w:right="7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854pt;width:1.65pt;height:1.65pt;mso-position-horizontal-relative:page;mso-position-vertical-relative:paragraph;z-index:15731200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438676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1492pt;width:1.65pt;height:1.65pt;mso-position-horizontal-relative:page;mso-position-vertical-relative:paragraph;z-index:15731712" id="docshape16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697042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85239pt;width:1.65pt;height:1.65pt;mso-position-horizontal-relative:page;mso-position-vertical-relative:paragraph;z-index:15732224" id="docshape17" coordorigin="1675,1098" coordsize="33,33" path="m1696,1130l1687,1130,1683,1129,1676,1122,1675,1118,1675,1109,1676,1106,1683,1099,1687,1098,1696,1098,1699,1099,1706,1106,1707,1109,1707,1114,1707,1118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955408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28981pt;width:1.65pt;height:1.65pt;mso-position-horizontal-relative:page;mso-position-vertical-relative:paragraph;z-index:15732736" id="docshape18" coordorigin="1675,1505" coordsize="33,33" path="m1696,1537l1687,1537,1683,1536,1676,1529,1675,1525,1675,1516,1676,1513,1683,1506,1687,1505,1696,1505,1699,1506,1706,1513,1707,1516,1707,1521,1707,1525,1706,1529,1699,1536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Real Estate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5"/>
        <w:ind w:left="356" w:right="6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62722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8812pt;width:1.65pt;height:1.65pt;mso-position-horizontal-relative:page;mso-position-vertical-relative:paragraph;z-index:15733248" id="docshape19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326255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89426pt;width:1.65pt;height:1.65pt;mso-position-horizontal-relative:page;mso-position-vertical-relative:paragraph;z-index:15733760" id="docshape20" coordorigin="1675,514" coordsize="33,33" path="m1696,546l1687,546,1683,545,1676,538,1675,535,1675,526,1676,522,1683,515,1687,514,1696,514,1699,515,1706,522,1707,526,1707,530,1707,535,1706,538,1699,545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Trusts &amp; Estates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63705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02pt;width:1.65pt;height:1.65pt;mso-position-horizontal-relative:page;mso-position-vertical-relative:paragraph;z-index:1573427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19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784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5296" id="docshape2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Board of Legal Specialization as a specialist in taxation </w:t>
      </w:r>
      <w:r>
        <w:rPr>
          <w:color w:val="6E6158"/>
        </w:rPr>
        <w:t>law Northern California Super Lawyer, 2019-2025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5808" id="docshape2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Rising</w:t>
      </w:r>
      <w:r>
        <w:rPr>
          <w:color w:val="6E6158"/>
          <w:spacing w:val="12"/>
        </w:rPr>
        <w:t> </w:t>
      </w:r>
      <w:r>
        <w:rPr>
          <w:color w:val="6E6158"/>
        </w:rPr>
        <w:t>Star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field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Taxation,</w:t>
      </w:r>
      <w:r>
        <w:rPr>
          <w:color w:val="6E6158"/>
          <w:spacing w:val="11"/>
        </w:rPr>
        <w:t> </w:t>
      </w:r>
      <w:r>
        <w:rPr>
          <w:color w:val="6E6158"/>
        </w:rPr>
        <w:t>2010,</w:t>
      </w:r>
      <w:r>
        <w:rPr>
          <w:color w:val="6E6158"/>
          <w:spacing w:val="12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left="356" w:right="5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157688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435pt;width:1.65pt;height:1.65pt;mso-position-horizontal-relative:page;mso-position-vertical-relative:paragraph;z-index:15736320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416054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185pt;width:1.65pt;height:1.65pt;mso-position-horizontal-relative:page;mso-position-vertical-relative:paragraph;z-index:15736832" id="docshape26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</w:t>
      </w:r>
      <w:r>
        <w:rPr>
          <w:color w:val="6E6158"/>
        </w:rPr>
        <w:t>California 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Montana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63969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965pt;width:1.65pt;height:1.65pt;mso-position-horizontal-relative:page;mso-position-vertical-relative:paragraph;z-index:15737344" id="docshape27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82"/>
        <w:ind w:left="356" w:righ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268430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6288pt;width:1.65pt;height:1.65pt;mso-position-horizontal-relative:page;mso-position-vertical-relative:paragraph;z-index:15737856" id="docshape28" coordorigin="1675,423" coordsize="33,33" path="m1696,455l1687,455,1683,454,1676,447,1675,443,1675,435,1676,431,1683,424,1687,423,1696,423,1699,424,1706,431,1707,435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and current Treasurer, Fresno County Bar Association (FCBA) Treasurer, Fresno County Bar Association (FCBA)</w:t>
      </w:r>
    </w:p>
    <w:p>
      <w:pPr>
        <w:pStyle w:val="Heading1"/>
        <w:spacing w:before="285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157851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246pt;width:1.65pt;height:1.65pt;mso-position-horizontal-relative:page;mso-position-vertical-relative:paragraph;z-index:15738368" id="docshape2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doer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2025-06-30T21:44:51Z</dcterms:created>
  <dcterms:modified xsi:type="dcterms:W3CDTF">2025-06-30T21:44:51Z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