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943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943475"/>
                          <a:chExt cx="6066790" cy="4943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1885" y="763308"/>
                            <a:ext cx="1308735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JOSHUA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COHEN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340187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jcohen@fennemorelaw.com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79772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37984" y="3962722"/>
                            <a:ext cx="22066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action.</w:t>
                              </w:r>
                              <w:r>
                                <w:rPr>
                                  <w:color w:val="FFFFFF"/>
                                  <w:spacing w:val="3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us.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Dread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Pirate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Roberts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755138"/>
                            <a:ext cx="14077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JOSHUA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COHEN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9772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9.25pt;mso-position-horizontal-relative:page;mso-position-vertical-relative:page;z-index:15728640" id="docshapegroup1" coordorigin="1341,560" coordsize="9554,7785">
                <v:rect style="position:absolute;left:1341;top:5865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85;top:1762;width:2061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JOSHUA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COHEN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245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jcohen@fennemorelaw.com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540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393;top:6800;width:3475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action.</w:t>
                        </w:r>
                        <w:r>
                          <w:rPr>
                            <w:color w:val="FFFFFF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become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us.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Dread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Pirate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Roberts</w:t>
                        </w:r>
                      </w:p>
                    </w:txbxContent>
                  </v:textbox>
                  <w10:wrap type="none"/>
                </v:shape>
                <v:shape style="position:absolute;left:1544;top:8048;width:221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JOSHUA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D.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COHEN</w:t>
                        </w:r>
                      </w:p>
                    </w:txbxContent>
                  </v:textbox>
                  <w10:wrap type="none"/>
                </v:shape>
                <v:shape style="position:absolute;left:8986;top:6540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4"/>
        <w:rPr>
          <w:rFonts w:ascii="Times New Roman"/>
        </w:rPr>
      </w:pPr>
    </w:p>
    <w:p>
      <w:pPr>
        <w:pStyle w:val="BodyText"/>
        <w:spacing w:line="295" w:lineRule="auto"/>
        <w:ind w:left="104" w:right="294"/>
      </w:pPr>
      <w:r>
        <w:rPr>
          <w:color w:val="6E6158"/>
        </w:rPr>
        <w:t>Josh works closely with his clients to efficiently and effectively resolve their problems. Josh has</w:t>
      </w:r>
      <w:r>
        <w:rPr>
          <w:color w:val="6E6158"/>
          <w:spacing w:val="40"/>
        </w:rPr>
        <w:t> </w:t>
      </w:r>
      <w:r>
        <w:rPr>
          <w:color w:val="6E6158"/>
        </w:rPr>
        <w:t>extensive trial experience, litigating a full spectrum of commercial disputes, ranging from real</w:t>
      </w:r>
      <w:r>
        <w:rPr>
          <w:color w:val="6E6158"/>
          <w:spacing w:val="40"/>
        </w:rPr>
        <w:t> </w:t>
      </w:r>
      <w:r>
        <w:rPr>
          <w:color w:val="6E6158"/>
        </w:rPr>
        <w:t>estate to technology, he is adept at addressing clients’ sophisticated litigation needs. He</w:t>
      </w:r>
      <w:r>
        <w:rPr>
          <w:color w:val="6E6158"/>
          <w:spacing w:val="40"/>
        </w:rPr>
        <w:t> </w:t>
      </w:r>
      <w:r>
        <w:rPr>
          <w:color w:val="6E6158"/>
        </w:rPr>
        <w:t>represents clients in litigation prevention, mediation, arbitration and trial in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courts.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proven</w:t>
      </w:r>
      <w:r>
        <w:rPr>
          <w:color w:val="6E6158"/>
          <w:spacing w:val="27"/>
        </w:rPr>
        <w:t> </w:t>
      </w:r>
      <w:r>
        <w:rPr>
          <w:color w:val="6E6158"/>
        </w:rPr>
        <w:t>track</w:t>
      </w:r>
      <w:r>
        <w:rPr>
          <w:color w:val="6E6158"/>
          <w:spacing w:val="27"/>
        </w:rPr>
        <w:t> </w:t>
      </w:r>
      <w:r>
        <w:rPr>
          <w:color w:val="6E6158"/>
        </w:rPr>
        <w:t>record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success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high-stakes</w:t>
      </w:r>
      <w:r>
        <w:rPr>
          <w:color w:val="6E6158"/>
          <w:spacing w:val="27"/>
        </w:rPr>
        <w:t> </w:t>
      </w:r>
      <w:r>
        <w:rPr>
          <w:color w:val="6E6158"/>
        </w:rPr>
        <w:t>trials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arbitrations.</w:t>
      </w:r>
    </w:p>
    <w:p>
      <w:pPr>
        <w:pStyle w:val="BodyText"/>
        <w:spacing w:line="292" w:lineRule="auto" w:before="203"/>
        <w:ind w:left="104" w:right="294"/>
      </w:pPr>
      <w:r>
        <w:rPr>
          <w:color w:val="6E6158"/>
        </w:rPr>
        <w:t>Josh’s business litigation experience includes handling disputes regarding partnerships,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torts,</w:t>
      </w:r>
      <w:r>
        <w:rPr>
          <w:color w:val="6E6158"/>
          <w:spacing w:val="36"/>
        </w:rPr>
        <w:t> </w:t>
      </w:r>
      <w:r>
        <w:rPr>
          <w:color w:val="6E6158"/>
        </w:rPr>
        <w:t>trade</w:t>
      </w:r>
      <w:r>
        <w:rPr>
          <w:color w:val="6E6158"/>
          <w:spacing w:val="36"/>
        </w:rPr>
        <w:t> </w:t>
      </w:r>
      <w:r>
        <w:rPr>
          <w:color w:val="6E6158"/>
        </w:rPr>
        <w:t>secrets,</w:t>
      </w:r>
      <w:r>
        <w:rPr>
          <w:color w:val="6E6158"/>
          <w:spacing w:val="36"/>
        </w:rPr>
        <w:t> </w:t>
      </w:r>
      <w:r>
        <w:rPr>
          <w:color w:val="6E6158"/>
        </w:rPr>
        <w:t>high-tech</w:t>
      </w:r>
      <w:r>
        <w:rPr>
          <w:color w:val="6E6158"/>
          <w:spacing w:val="36"/>
        </w:rPr>
        <w:t> </w:t>
      </w:r>
      <w:r>
        <w:rPr>
          <w:color w:val="6E6158"/>
        </w:rPr>
        <w:t>product</w:t>
      </w:r>
      <w:r>
        <w:rPr>
          <w:color w:val="6E6158"/>
          <w:spacing w:val="36"/>
        </w:rPr>
        <w:t> </w:t>
      </w:r>
      <w:r>
        <w:rPr>
          <w:color w:val="6E6158"/>
        </w:rPr>
        <w:t>defects,</w:t>
      </w:r>
      <w:r>
        <w:rPr>
          <w:color w:val="6E6158"/>
          <w:spacing w:val="36"/>
        </w:rPr>
        <w:t> </w:t>
      </w:r>
      <w:r>
        <w:rPr>
          <w:color w:val="6E6158"/>
        </w:rPr>
        <w:t>indemnification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warranty,</w:t>
      </w:r>
      <w:r>
        <w:rPr>
          <w:color w:val="6E6158"/>
          <w:spacing w:val="36"/>
        </w:rPr>
        <w:t> </w:t>
      </w:r>
      <w:r>
        <w:rPr>
          <w:color w:val="6E6158"/>
        </w:rPr>
        <w:t>trademark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2"/>
        <w:ind w:left="104" w:right="153"/>
      </w:pPr>
      <w:r>
        <w:rPr>
          <w:color w:val="6E6158"/>
        </w:rPr>
        <w:t>copyright infringement, licensing, cannabis-related IP issues, and employment matters </w:t>
      </w:r>
      <w:r>
        <w:rPr>
          <w:color w:val="6E6158"/>
        </w:rPr>
        <w:t>regarding</w:t>
      </w:r>
      <w:r>
        <w:rPr>
          <w:color w:val="6E6158"/>
          <w:spacing w:val="40"/>
        </w:rPr>
        <w:t> </w:t>
      </w:r>
      <w:r>
        <w:rPr>
          <w:color w:val="6E6158"/>
        </w:rPr>
        <w:t>non-compete, non-solicitation and non-disclosure agreements.</w:t>
      </w:r>
    </w:p>
    <w:p>
      <w:pPr>
        <w:pStyle w:val="BodyText"/>
        <w:spacing w:line="292" w:lineRule="auto" w:before="204"/>
        <w:ind w:left="104" w:right="307"/>
        <w:jc w:val="both"/>
      </w:pPr>
      <w:r>
        <w:rPr>
          <w:color w:val="6E6158"/>
        </w:rPr>
        <w:t>Josh has represented major residential and commercial developers, as well as contractors and individuals in disputes regarding purchase and sale, brokers’ commissions, contractor licensing, non-disclosure/fraud/concealment actions and land use issues.</w:t>
      </w:r>
    </w:p>
    <w:p>
      <w:pPr>
        <w:pStyle w:val="BodyText"/>
        <w:spacing w:line="302" w:lineRule="auto" w:before="197"/>
        <w:ind w:left="104" w:right="294"/>
      </w:pPr>
      <w:r>
        <w:rPr>
          <w:color w:val="6E6158"/>
        </w:rPr>
        <w:t>Josh helps cities, counties, special districts and other public entities, as well as private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throughout the state, in public acquisition (eminent domain) and similar matters.</w:t>
      </w:r>
    </w:p>
    <w:p>
      <w:pPr>
        <w:pStyle w:val="Heading2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122pt;width:1.65pt;height:1.65pt;mso-position-horizontal-relative:page;mso-position-vertical-relative:paragraph;z-index:15729152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866pt;width:1.65pt;height:1.65pt;mso-position-horizontal-relative:page;mso-position-vertical-relative:paragraph;z-index:15729664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 School of </w:t>
      </w:r>
      <w:r>
        <w:rPr>
          <w:color w:val="6E6158"/>
        </w:rPr>
        <w:t>Law</w:t>
      </w:r>
      <w:r>
        <w:rPr>
          <w:color w:val="6E6158"/>
        </w:rPr>
        <w:t> B.A., University of California, Los Angeles</w:t>
      </w:r>
    </w:p>
    <w:p>
      <w:pPr>
        <w:spacing w:before="168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spacing w:after="0"/>
        <w:jc w:val="left"/>
        <w:rPr>
          <w:b/>
          <w:sz w:val="24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13pt;width:1.65pt;height:1.65pt;mso-position-horizontal-relative:page;mso-position-vertical-relative:paragraph;z-index:15730688" id="docshape15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318057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3863pt;width:1.65pt;height:1.65pt;mso-position-horizontal-relative:page;mso-position-vertical-relative:paragraph;z-index:15731200" id="docshape16" coordorigin="1675,501" coordsize="33,33" path="m1696,533l1687,533,1683,532,1676,525,1675,522,1675,513,1676,509,1683,502,1687,501,1696,501,1699,502,1706,509,1707,513,1707,517,1707,522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BodyText"/>
        <w:spacing w:line="422" w:lineRule="auto"/>
        <w:ind w:left="356" w:right="7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63849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521pt;width:1.65pt;height:1.65pt;mso-position-horizontal-relative:page;mso-position-vertical-relative:paragraph;z-index:15731712" id="docshape17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322215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1269pt;width:1.65pt;height:1.65pt;mso-position-horizontal-relative:page;mso-position-vertical-relative:paragraph;z-index:15732224" id="docshape1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580580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15019pt;width:1.65pt;height:1.65pt;mso-position-horizontal-relative:page;mso-position-vertical-relative:paragraph;z-index:15732736" id="docshape19" coordorigin="1675,914" coordsize="33,33" path="m1696,947l1687,947,1683,945,1676,939,1675,935,1675,926,1676,922,1683,916,1687,914,1696,914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844113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65645pt;width:1.65pt;height:1.65pt;mso-position-horizontal-relative:page;mso-position-vertical-relative:paragraph;z-index:15733248" id="docshape20" coordorigin="1675,1329" coordsize="33,33" path="m1696,1362l1687,1362,1683,1360,1676,1354,1675,1350,1675,1341,1676,1337,1683,1331,1687,1329,1696,1329,1699,1331,1706,1337,1707,1341,1707,1346,1707,1350,1706,1354,1699,1360,1696,13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 Domain Intellectual </w:t>
      </w:r>
      <w:r>
        <w:rPr>
          <w:color w:val="6E6158"/>
        </w:rPr>
        <w:t>Property Real Estate Cannabis Business</w:t>
      </w:r>
    </w:p>
    <w:p>
      <w:pPr>
        <w:pStyle w:val="Heading2"/>
        <w:spacing w:before="15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157548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405pt;width:1.65pt;height:1.65pt;mso-position-horizontal-relative:page;mso-position-vertical-relative:paragraph;z-index:15733760" id="docshape2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1"/>
        </w:rPr>
        <w:t> </w:t>
      </w:r>
      <w:r>
        <w:rPr>
          <w:color w:val="6E6158"/>
        </w:rPr>
        <w:t>$4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</w:rPr>
        <w:t>plus</w:t>
      </w:r>
      <w:r>
        <w:rPr>
          <w:color w:val="6E6158"/>
          <w:spacing w:val="11"/>
        </w:rPr>
        <w:t> </w:t>
      </w:r>
      <w:r>
        <w:rPr>
          <w:color w:val="6E6158"/>
        </w:rPr>
        <w:t>verdict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partnership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dispute.</w:t>
      </w:r>
    </w:p>
    <w:p>
      <w:pPr>
        <w:pStyle w:val="BodyText"/>
        <w:spacing w:line="292" w:lineRule="auto" w:before="182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268290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5198pt;width:1.65pt;height:1.65pt;mso-position-horizontal-relative:page;mso-position-vertical-relative:paragraph;z-index:15734272" id="docshape22" coordorigin="1675,423" coordsize="33,33" path="m1696,455l1687,455,1683,453,1676,447,1675,443,1675,434,1676,430,1683,424,1687,423,1696,423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Prosecuted developer who subdivided agricultural preserve into residential lots in violation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local and state law.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143158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297pt;width:1.65pt;height:1.65pt;mso-position-horizontal-relative:page;mso-position-vertical-relative:paragraph;z-index:15734784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</w:t>
      </w:r>
      <w:r>
        <w:rPr>
          <w:color w:val="6E6158"/>
          <w:spacing w:val="15"/>
        </w:rPr>
        <w:t> </w:t>
      </w:r>
      <w:r>
        <w:rPr>
          <w:color w:val="6E6158"/>
        </w:rPr>
        <w:t>cannabis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against</w:t>
      </w:r>
      <w:r>
        <w:rPr>
          <w:color w:val="6E6158"/>
          <w:spacing w:val="15"/>
        </w:rPr>
        <w:t> </w:t>
      </w:r>
      <w:r>
        <w:rPr>
          <w:color w:val="6E6158"/>
        </w:rPr>
        <w:t>unfair</w:t>
      </w:r>
      <w:r>
        <w:rPr>
          <w:color w:val="6E6158"/>
          <w:spacing w:val="15"/>
        </w:rPr>
        <w:t> </w:t>
      </w:r>
      <w:r>
        <w:rPr>
          <w:color w:val="6E6158"/>
        </w:rPr>
        <w:t>competition</w:t>
      </w:r>
      <w:r>
        <w:rPr>
          <w:color w:val="6E6158"/>
          <w:spacing w:val="15"/>
        </w:rPr>
        <w:t> </w:t>
      </w:r>
      <w:r>
        <w:rPr>
          <w:color w:val="6E6158"/>
        </w:rPr>
        <w:t>claim</w:t>
      </w:r>
      <w:r>
        <w:rPr>
          <w:color w:val="6E6158"/>
          <w:spacing w:val="15"/>
        </w:rPr>
        <w:t> </w:t>
      </w:r>
      <w:r>
        <w:rPr>
          <w:color w:val="6E6158"/>
        </w:rPr>
        <w:t>by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competitor.</w:t>
      </w:r>
    </w:p>
    <w:p>
      <w:pPr>
        <w:pStyle w:val="BodyText"/>
        <w:spacing w:line="302" w:lineRule="auto" w:before="173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267869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2091pt;width:1.65pt;height:1.65pt;mso-position-horizontal-relative:page;mso-position-vertical-relative:paragraph;z-index:15735296" id="docshape24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jury verdict and attorneys’ fee award for mail processing company for 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 by customer.</w:t>
      </w:r>
    </w:p>
    <w:p>
      <w:pPr>
        <w:pStyle w:val="BodyText"/>
        <w:spacing w:line="292" w:lineRule="auto" w:before="113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224462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425pt;width:1.65pt;height:1.65pt;mso-position-horizontal-relative:page;mso-position-vertical-relative:paragraph;z-index:15735808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settlement for company threatened with multimillion </w:t>
      </w:r>
      <w:r>
        <w:rPr>
          <w:color w:val="6E6158"/>
        </w:rPr>
        <w:t>dollar disgorgement claim for alleged violation of state contractor’s licensing rules.</w:t>
      </w:r>
    </w:p>
    <w:p>
      <w:pPr>
        <w:pStyle w:val="BodyText"/>
        <w:spacing w:line="302" w:lineRule="auto" w:before="124"/>
        <w:ind w:left="356" w:right="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236157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097pt;width:1.65pt;height:1.65pt;mso-position-horizontal-relative:page;mso-position-vertical-relative:paragraph;z-index:15736320" id="docshape26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international manufacturer and its U.S. subsidiaries against fraud and breach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merger agreement claims in California state and federal courts.</w:t>
      </w:r>
    </w:p>
    <w:p>
      <w:pPr>
        <w:pStyle w:val="BodyText"/>
        <w:spacing w:line="292" w:lineRule="auto" w:before="112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223866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726pt;width:1.65pt;height:1.65pt;mso-position-horizontal-relative:page;mso-position-vertical-relative:paragraph;z-index:15736832" id="docshape27" coordorigin="1675,353" coordsize="33,33" path="m1696,385l1687,385,1683,384,1676,377,1675,373,1675,364,1676,360,1683,354,1687,353,1696,353,1699,354,1706,360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Full defense verdict in jury trial for East Bay engineering firm accused of trade secret misappropriation and unfair competition.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1063521</wp:posOffset>
                </wp:positionH>
                <wp:positionV relativeFrom="paragraph">
                  <wp:posOffset>236195</wp:posOffset>
                </wp:positionV>
                <wp:extent cx="20955" cy="2095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089pt;width:1.65pt;height:1.65pt;mso-position-horizontal-relative:page;mso-position-vertical-relative:paragraph;z-index:-15727104;mso-wrap-distance-left:0;mso-wrap-distance-right:0" id="docshape2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Prosecuted</w:t>
      </w:r>
      <w:r>
        <w:rPr>
          <w:color w:val="6E6158"/>
          <w:spacing w:val="17"/>
        </w:rPr>
        <w:t> </w:t>
      </w:r>
      <w:r>
        <w:rPr>
          <w:color w:val="6E6158"/>
        </w:rPr>
        <w:t>fraud/product</w:t>
      </w:r>
      <w:r>
        <w:rPr>
          <w:color w:val="6E6158"/>
          <w:spacing w:val="17"/>
        </w:rPr>
        <w:t> </w:t>
      </w:r>
      <w:r>
        <w:rPr>
          <w:color w:val="6E6158"/>
        </w:rPr>
        <w:t>defect</w:t>
      </w:r>
      <w:r>
        <w:rPr>
          <w:color w:val="6E6158"/>
          <w:spacing w:val="18"/>
        </w:rPr>
        <w:t> </w:t>
      </w:r>
      <w:r>
        <w:rPr>
          <w:color w:val="6E6158"/>
        </w:rPr>
        <w:t>action</w:t>
      </w:r>
      <w:r>
        <w:rPr>
          <w:color w:val="6E6158"/>
          <w:spacing w:val="17"/>
        </w:rPr>
        <w:t> </w:t>
      </w:r>
      <w:r>
        <w:rPr>
          <w:color w:val="6E6158"/>
        </w:rPr>
        <w:t>against</w:t>
      </w:r>
      <w:r>
        <w:rPr>
          <w:color w:val="6E6158"/>
          <w:spacing w:val="18"/>
        </w:rPr>
        <w:t> </w:t>
      </w:r>
      <w:r>
        <w:rPr>
          <w:color w:val="6E6158"/>
        </w:rPr>
        <w:t>computer</w:t>
      </w:r>
      <w:r>
        <w:rPr>
          <w:color w:val="6E6158"/>
          <w:spacing w:val="17"/>
        </w:rPr>
        <w:t> </w:t>
      </w:r>
      <w:r>
        <w:rPr>
          <w:color w:val="6E6158"/>
        </w:rPr>
        <w:t>chip</w:t>
      </w:r>
      <w:r>
        <w:rPr>
          <w:color w:val="6E6158"/>
          <w:spacing w:val="18"/>
        </w:rPr>
        <w:t> </w:t>
      </w:r>
      <w:r>
        <w:rPr>
          <w:color w:val="6E6158"/>
        </w:rPr>
        <w:t>manufacturer</w:t>
      </w:r>
      <w:r>
        <w:rPr>
          <w:color w:val="6E6158"/>
          <w:spacing w:val="17"/>
        </w:rPr>
        <w:t> </w:t>
      </w:r>
      <w:r>
        <w:rPr>
          <w:color w:val="6E6158"/>
        </w:rPr>
        <w:t>resulting</w:t>
      </w:r>
      <w:r>
        <w:rPr>
          <w:color w:val="6E6158"/>
          <w:spacing w:val="18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before="12"/>
        <w:ind w:left="356"/>
      </w:pPr>
      <w:r>
        <w:rPr>
          <w:color w:val="6E6158"/>
        </w:rPr>
        <w:t>$7.1</w:t>
      </w:r>
      <w:r>
        <w:rPr>
          <w:color w:val="6E6158"/>
          <w:spacing w:val="8"/>
        </w:rPr>
        <w:t> </w:t>
      </w:r>
      <w:r>
        <w:rPr>
          <w:color w:val="6E6158"/>
        </w:rPr>
        <w:t>million</w:t>
      </w:r>
      <w:r>
        <w:rPr>
          <w:color w:val="6E6158"/>
          <w:spacing w:val="8"/>
        </w:rPr>
        <w:t> </w:t>
      </w:r>
      <w:r>
        <w:rPr>
          <w:color w:val="6E6158"/>
        </w:rPr>
        <w:t>eve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settlement.</w:t>
      </w:r>
    </w:p>
    <w:p>
      <w:pPr>
        <w:pStyle w:val="BodyText"/>
        <w:spacing w:line="292" w:lineRule="auto" w:before="174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77pt;width:1.65pt;height:1.65pt;mso-position-horizontal-relative:page;mso-position-vertical-relative:paragraph;z-index:15737344" id="docshape29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substantial damages and attorneys’ fee award in involuntary dissolution action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partners that were being held hostage by managing member.</w:t>
      </w:r>
    </w:p>
    <w:p>
      <w:pPr>
        <w:pStyle w:val="BodyText"/>
        <w:spacing w:line="302" w:lineRule="auto" w:before="123"/>
        <w:ind w:left="356" w:right="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235966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032pt;width:1.65pt;height:1.65pt;mso-position-horizontal-relative:page;mso-position-vertical-relative:paragraph;z-index:15737856" id="docshape3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Defeated restraining order and preliminary injunctions for terminated employees accused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trade secret, breach of non-disclosure and non-compete agreements.</w:t>
      </w:r>
    </w:p>
    <w:p>
      <w:pPr>
        <w:pStyle w:val="BodyText"/>
        <w:spacing w:line="292" w:lineRule="auto" w:before="113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224309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174pt;width:1.65pt;height:1.65pt;mso-position-horizontal-relative:page;mso-position-vertical-relative:paragraph;z-index:15738368" id="docshape3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verdict and attorneys’ fees award in bench trial for specific performance for one of</w:t>
      </w:r>
      <w:r>
        <w:rPr>
          <w:color w:val="6E6158"/>
          <w:spacing w:val="40"/>
        </w:rPr>
        <w:t> </w:t>
      </w:r>
      <w:r>
        <w:rPr>
          <w:color w:val="6E6158"/>
        </w:rPr>
        <w:t>the country’s top five residential developers.</w:t>
      </w:r>
    </w:p>
    <w:p>
      <w:pPr>
        <w:pStyle w:val="Heading2"/>
        <w:spacing w:before="29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152465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136pt;width:1.65pt;height:1.65pt;mso-position-horizontal-relative:page;mso-position-vertical-relative:paragraph;z-index:15738880" id="docshape3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Lawyers®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Top Rated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 Attorney,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245679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44866pt;width:1.65pt;height:1.65pt;mso-position-horizontal-relative:page;mso-position-vertical-relative:paragraph;z-index:15739392" id="docshape33" coordorigin="1675,387" coordsize="33,33" path="m1696,419l1687,419,1683,418,1676,412,1675,408,1675,399,1676,395,1683,388,1687,387,1696,387,1699,388,1706,395,1707,399,1707,403,1707,408,1706,412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“Annual Legal Update,” International Right of Way Association, Bay </w:t>
      </w:r>
      <w:r>
        <w:rPr>
          <w:color w:val="6E6158"/>
        </w:rPr>
        <w:t>Area Chapters 2, January 26, 2022, 2021, 2019</w:t>
      </w:r>
    </w:p>
    <w:p>
      <w:pPr>
        <w:pStyle w:val="BodyText"/>
        <w:spacing w:line="292" w:lineRule="auto" w:before="131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235784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572pt;width:1.65pt;height:1.65pt;mso-position-horizontal-relative:page;mso-position-vertical-relative:paragraph;z-index:15739904" id="docshape3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“Can Appraisers Still Reply on Hearsay After the Sanchez and Stamps </w:t>
      </w:r>
      <w:r>
        <w:rPr>
          <w:color w:val="6E6158"/>
        </w:rPr>
        <w:t>Decisions?” IRWA Chapter 42 Spring Conference, Friday, April 3, 2020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143037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807pt;width:1.65pt;height:1.65pt;mso-position-horizontal-relative:page;mso-position-vertical-relative:paragraph;z-index:15740416" id="docshape3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3"/>
        </w:rPr>
        <w:t> </w:t>
      </w:r>
      <w:r>
        <w:rPr>
          <w:color w:val="6E6158"/>
        </w:rPr>
        <w:t>“Saving</w:t>
      </w:r>
      <w:r>
        <w:rPr>
          <w:color w:val="6E6158"/>
          <w:spacing w:val="3"/>
        </w:rPr>
        <w:t> </w:t>
      </w:r>
      <w:r>
        <w:rPr>
          <w:color w:val="6E6158"/>
        </w:rPr>
        <w:t>Your</w:t>
      </w:r>
      <w:r>
        <w:rPr>
          <w:color w:val="6E6158"/>
          <w:spacing w:val="4"/>
        </w:rPr>
        <w:t> </w:t>
      </w:r>
      <w:r>
        <w:rPr>
          <w:color w:val="6E6158"/>
        </w:rPr>
        <w:t>Assets,”</w:t>
      </w:r>
      <w:r>
        <w:rPr>
          <w:color w:val="6E6158"/>
          <w:spacing w:val="3"/>
        </w:rPr>
        <w:t> </w:t>
      </w:r>
      <w:r>
        <w:rPr>
          <w:color w:val="6E6158"/>
        </w:rPr>
        <w:t>Wendel</w:t>
      </w:r>
      <w:r>
        <w:rPr>
          <w:color w:val="6E6158"/>
          <w:spacing w:val="4"/>
        </w:rPr>
        <w:t> </w:t>
      </w:r>
      <w:r>
        <w:rPr>
          <w:color w:val="6E6158"/>
        </w:rPr>
        <w:t>Rosen</w:t>
      </w:r>
      <w:r>
        <w:rPr>
          <w:color w:val="6E6158"/>
          <w:spacing w:val="3"/>
        </w:rPr>
        <w:t> </w:t>
      </w:r>
      <w:r>
        <w:rPr>
          <w:color w:val="6E6158"/>
        </w:rPr>
        <w:t>LLP,</w:t>
      </w:r>
      <w:r>
        <w:rPr>
          <w:color w:val="6E6158"/>
          <w:spacing w:val="4"/>
        </w:rPr>
        <w:t> </w:t>
      </w:r>
      <w:r>
        <w:rPr>
          <w:color w:val="6E6158"/>
        </w:rPr>
        <w:t>May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after="0"/>
        <w:sectPr>
          <w:pgSz w:w="12240" w:h="15840"/>
          <w:pgMar w:top="520" w:bottom="280" w:left="1440" w:right="1440"/>
        </w:sectPr>
      </w:pPr>
    </w:p>
    <w:p>
      <w:pPr>
        <w:pStyle w:val="BodyText"/>
        <w:spacing w:line="292" w:lineRule="auto" w:before="88"/>
        <w:ind w:left="356"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928" id="docshape36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“USPTO Stripped of Power to Deny Disparaging or Vulgar Trademarks,” The Recorder, April 27, 2018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1440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“Gold</w:t>
      </w:r>
      <w:r>
        <w:rPr>
          <w:color w:val="6E6158"/>
          <w:spacing w:val="9"/>
        </w:rPr>
        <w:t> </w:t>
      </w:r>
      <w:r>
        <w:rPr>
          <w:color w:val="6E6158"/>
        </w:rPr>
        <w:t>Rush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Cannabis</w:t>
      </w:r>
      <w:r>
        <w:rPr>
          <w:color w:val="6E6158"/>
          <w:spacing w:val="8"/>
        </w:rPr>
        <w:t> </w:t>
      </w:r>
      <w:r>
        <w:rPr>
          <w:color w:val="6E6158"/>
        </w:rPr>
        <w:t>Trademarks,”</w:t>
      </w:r>
      <w:r>
        <w:rPr>
          <w:color w:val="6E6158"/>
          <w:spacing w:val="9"/>
        </w:rPr>
        <w:t> </w:t>
      </w:r>
      <w:r>
        <w:rPr>
          <w:color w:val="6E6158"/>
        </w:rPr>
        <w:t>Marijuana</w:t>
      </w:r>
      <w:r>
        <w:rPr>
          <w:color w:val="6E6158"/>
          <w:spacing w:val="9"/>
        </w:rPr>
        <w:t> </w:t>
      </w:r>
      <w:r>
        <w:rPr>
          <w:color w:val="6E6158"/>
        </w:rPr>
        <w:t>Venture,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2017</w:t>
      </w:r>
    </w:p>
    <w:p>
      <w:pPr>
        <w:pStyle w:val="Heading2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157728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585pt;width:1.65pt;height:1.65pt;mso-position-horizontal-relative:page;mso-position-vertical-relative:paragraph;z-index:15741952" id="docshape3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Section,</w:t>
      </w:r>
      <w:r>
        <w:rPr>
          <w:color w:val="6E6158"/>
          <w:spacing w:val="12"/>
        </w:rPr>
        <w:t> </w:t>
      </w:r>
      <w:r>
        <w:rPr>
          <w:color w:val="6E6158"/>
        </w:rPr>
        <w:t>Contra</w:t>
      </w:r>
      <w:r>
        <w:rPr>
          <w:color w:val="6E6158"/>
          <w:spacing w:val="12"/>
        </w:rPr>
        <w:t> </w:t>
      </w:r>
      <w:r>
        <w:rPr>
          <w:color w:val="6E6158"/>
        </w:rPr>
        <w:t>Costa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3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175458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63pt;width:1.65pt;height:1.65pt;mso-position-horizontal-relative:page;mso-position-vertical-relative:paragraph;z-index:15742464" id="docshape3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433824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378pt;width:1.65pt;height:1.65pt;mso-position-horizontal-relative:page;mso-position-vertical-relative:paragraph;z-index:15742976" id="docshape4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Former Chair, Litigation Section, Contra Costa County Bar Association Member, International Right of Way Association</w:t>
      </w:r>
    </w:p>
    <w:p>
      <w:pPr>
        <w:pStyle w:val="BodyText"/>
        <w:spacing w:before="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63959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616pt;width:1.65pt;height:1.65pt;mso-position-horizontal-relative:page;mso-position-vertical-relative:paragraph;z-index:15743488" id="docshape41" coordorigin="1675,101" coordsize="33,33" path="m1696,133l1687,133,1683,132,1676,125,1675,121,1675,113,1676,109,1683,102,1687,101,1696,101,1699,102,1706,109,1707,113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left="356"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175121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078pt;width:1.65pt;height:1.65pt;mso-position-horizontal-relative:page;mso-position-vertical-relative:paragraph;z-index:15744000" id="docshape4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433486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828pt;width:1.65pt;height:1.65pt;mso-position-horizontal-relative:page;mso-position-vertical-relative:paragraph;z-index:15744512" id="docshape4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California Shakespeare </w:t>
      </w:r>
      <w:r>
        <w:rPr>
          <w:color w:val="6E6158"/>
        </w:rPr>
        <w:t>Theater Board of Directors, Council One</w:t>
      </w:r>
    </w:p>
    <w:p>
      <w:pPr>
        <w:pStyle w:val="Heading2"/>
        <w:spacing w:before="160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4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157549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468pt;width:1.65pt;height:1.65pt;mso-position-horizontal-relative:page;mso-position-vertical-relative:paragraph;z-index:15745024" id="docshape44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170199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51pt;width:1.65pt;height:1.65pt;mso-position-horizontal-relative:page;mso-position-vertical-relative:paragraph;z-index:15745536" id="docshape4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175316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43pt;width:1.65pt;height:1.65pt;mso-position-horizontal-relative:page;mso-position-vertical-relative:paragraph;z-index:15746048" id="docshape4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175266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475pt;width:1.65pt;height:1.65pt;mso-position-horizontal-relative:page;mso-position-vertical-relative:paragraph;z-index:15746560" id="docshape4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coh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2025-06-30T21:47:28Z</dcterms:created>
  <dcterms:modified xsi:type="dcterms:W3CDTF">2025-06-30T21:47:28Z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