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8265" y="1369338"/>
                            <a:ext cx="21031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120" h="320675">
                                <a:moveTo>
                                  <a:pt x="210309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03094" y="320382"/>
                                </a:lnTo>
                                <a:lnTo>
                                  <a:pt x="2103094" y="315214"/>
                                </a:lnTo>
                                <a:close/>
                              </a:path>
                              <a:path w="2103120" h="320675">
                                <a:moveTo>
                                  <a:pt x="2103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03094" y="5168"/>
                                </a:lnTo>
                                <a:lnTo>
                                  <a:pt x="2103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97221" y="763308"/>
                            <a:ext cx="211836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JASKARAN S.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GILL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1859626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81754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3431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932324" y="2226505"/>
                            <a:ext cx="12477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jgill@fennemorelaw.com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50;top:2716;width:3312;height:505" id="docshape5" coordorigin="6850,2716" coordsize="3312,505" path="m10162,3213l6850,3213,6850,3221,10162,3221,10162,3213xm10162,2716l6850,2716,6850,2725,10162,2725,10162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48;top:1762;width:3336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JASKARAN S.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GILL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488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81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559.446.3271</w:t>
                        </w:r>
                      </w:p>
                    </w:txbxContent>
                  </v:textbox>
                  <w10:wrap type="none"/>
                </v:shape>
                <v:shape style="position:absolute;left:8811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533;top:4066;width:196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jgill@fennemorelaw.com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JASKARAN</w:t>
      </w:r>
      <w:r>
        <w:rPr>
          <w:color w:val="FF8100"/>
          <w:spacing w:val="8"/>
        </w:rPr>
        <w:t> </w:t>
      </w:r>
      <w:r>
        <w:rPr>
          <w:color w:val="FF8100"/>
        </w:rPr>
        <w:t>S.</w:t>
      </w:r>
      <w:r>
        <w:rPr>
          <w:color w:val="FF8100"/>
          <w:spacing w:val="8"/>
        </w:rPr>
        <w:t> </w:t>
      </w:r>
      <w:r>
        <w:rPr>
          <w:color w:val="FF8100"/>
          <w:spacing w:val="-4"/>
        </w:rPr>
        <w:t>GILL</w:t>
      </w:r>
    </w:p>
    <w:p>
      <w:pPr>
        <w:pStyle w:val="BodyText"/>
        <w:spacing w:line="297" w:lineRule="auto" w:before="147"/>
        <w:ind w:left="104" w:right="367"/>
      </w:pPr>
      <w:r>
        <w:rPr>
          <w:color w:val="6E6158"/>
        </w:rPr>
        <w:t>Jaskaran Gill is an associate attorney in our Business Litigation practice group who works out of</w:t>
      </w:r>
      <w:r>
        <w:rPr>
          <w:color w:val="6E6158"/>
          <w:spacing w:val="40"/>
        </w:rPr>
        <w:t> </w:t>
      </w:r>
      <w:r>
        <w:rPr>
          <w:color w:val="6E6158"/>
        </w:rPr>
        <w:t>our Fresno office. His practice focuses primarily on civil litigation, where he has represented</w:t>
      </w:r>
      <w:r>
        <w:rPr>
          <w:color w:val="6E6158"/>
          <w:spacing w:val="40"/>
        </w:rPr>
        <w:t> </w:t>
      </w:r>
      <w:r>
        <w:rPr>
          <w:color w:val="6E6158"/>
        </w:rPr>
        <w:t>clients through every stage of litigation, including trial. Jas has extensive experience in court,</w:t>
      </w:r>
      <w:r>
        <w:rPr>
          <w:color w:val="6E6158"/>
          <w:spacing w:val="40"/>
        </w:rPr>
        <w:t> </w:t>
      </w:r>
      <w:r>
        <w:rPr>
          <w:color w:val="6E6158"/>
        </w:rPr>
        <w:t>conducting and defending depositions, resolving matters through alternate dispute resolution,</w:t>
      </w:r>
      <w:r>
        <w:rPr>
          <w:color w:val="6E6158"/>
          <w:spacing w:val="40"/>
        </w:rPr>
        <w:t> </w:t>
      </w:r>
      <w:r>
        <w:rPr>
          <w:color w:val="6E6158"/>
        </w:rPr>
        <w:t>and representing clients in both bench and jury trials.</w:t>
      </w:r>
    </w:p>
    <w:p>
      <w:pPr>
        <w:pStyle w:val="BodyText"/>
        <w:spacing w:line="295" w:lineRule="auto" w:before="191"/>
        <w:ind w:left="104" w:right="281"/>
      </w:pPr>
      <w:r>
        <w:rPr>
          <w:color w:val="6E6158"/>
        </w:rPr>
        <w:t>With a neuroscience background, Jas initially worked as an EMT, but his passion for rational, critical and analytic thinking eventually led him to the legal profession. In his practice, he really</w:t>
      </w:r>
      <w:r>
        <w:rPr>
          <w:color w:val="6E6158"/>
          <w:spacing w:val="40"/>
        </w:rPr>
        <w:t> </w:t>
      </w:r>
      <w:r>
        <w:rPr>
          <w:color w:val="6E6158"/>
        </w:rPr>
        <w:t>enjoys solving problems and resolving cases favorably for his clients. He enjoys helping clients</w:t>
      </w:r>
      <w:r>
        <w:rPr>
          <w:color w:val="6E6158"/>
          <w:spacing w:val="40"/>
        </w:rPr>
        <w:t> </w:t>
      </w:r>
      <w:r>
        <w:rPr>
          <w:color w:val="6E6158"/>
        </w:rPr>
        <w:t>navigate</w:t>
      </w:r>
      <w:r>
        <w:rPr>
          <w:color w:val="6E6158"/>
          <w:spacing w:val="27"/>
        </w:rPr>
        <w:t> </w:t>
      </w:r>
      <w:r>
        <w:rPr>
          <w:color w:val="6E6158"/>
        </w:rPr>
        <w:t>tough</w:t>
      </w:r>
      <w:r>
        <w:rPr>
          <w:color w:val="6E6158"/>
          <w:spacing w:val="27"/>
        </w:rPr>
        <w:t> </w:t>
      </w:r>
      <w:r>
        <w:rPr>
          <w:color w:val="6E6158"/>
        </w:rPr>
        <w:t>situations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takes</w:t>
      </w:r>
      <w:r>
        <w:rPr>
          <w:color w:val="6E6158"/>
          <w:spacing w:val="27"/>
        </w:rPr>
        <w:t> </w:t>
      </w:r>
      <w:r>
        <w:rPr>
          <w:color w:val="6E6158"/>
        </w:rPr>
        <w:t>pride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seeing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case</w:t>
      </w:r>
      <w:r>
        <w:rPr>
          <w:color w:val="6E6158"/>
          <w:spacing w:val="27"/>
        </w:rPr>
        <w:t> </w:t>
      </w:r>
      <w:r>
        <w:rPr>
          <w:color w:val="6E6158"/>
        </w:rPr>
        <w:t>through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favorable</w:t>
      </w:r>
      <w:r>
        <w:rPr>
          <w:color w:val="6E6158"/>
          <w:spacing w:val="27"/>
        </w:rPr>
        <w:t> </w:t>
      </w:r>
      <w:r>
        <w:rPr>
          <w:color w:val="6E6158"/>
        </w:rPr>
        <w:t>outcome.</w:t>
      </w:r>
    </w:p>
    <w:p>
      <w:pPr>
        <w:pStyle w:val="BodyText"/>
        <w:spacing w:line="292" w:lineRule="auto" w:before="197"/>
        <w:ind w:left="104" w:right="367"/>
      </w:pPr>
      <w:r>
        <w:rPr>
          <w:color w:val="6E6158"/>
        </w:rPr>
        <w:t>In addition to his legal practice, Jas is a professor at San Joaquin College of Law, where he</w:t>
      </w:r>
      <w:r>
        <w:rPr>
          <w:color w:val="6E6158"/>
          <w:spacing w:val="40"/>
        </w:rPr>
        <w:t> </w:t>
      </w:r>
      <w:r>
        <w:rPr>
          <w:color w:val="6E6158"/>
        </w:rPr>
        <w:t>teaches Advanced Legal Research and Writing, helping to shape the next generation of legal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minds.</w:t>
      </w:r>
    </w:p>
    <w:p>
      <w:pPr>
        <w:pStyle w:val="BodyText"/>
        <w:spacing w:line="292" w:lineRule="auto" w:before="205"/>
        <w:ind w:left="104" w:right="281"/>
      </w:pPr>
      <w:r>
        <w:rPr>
          <w:color w:val="6E6158"/>
        </w:rPr>
        <w:t>A proud Golden State Warriors fan, Jas enjoys staying active by playing basketball and spending</w:t>
      </w:r>
      <w:r>
        <w:rPr>
          <w:color w:val="6E6158"/>
          <w:spacing w:val="40"/>
        </w:rPr>
        <w:t> </w:t>
      </w:r>
      <w:r>
        <w:rPr>
          <w:color w:val="6E6158"/>
        </w:rPr>
        <w:t>time outdoors. Outside of the office and the courtroom, he cherishes time with his wife—who</w:t>
      </w:r>
      <w:r>
        <w:rPr>
          <w:color w:val="6E6158"/>
          <w:spacing w:val="40"/>
        </w:rPr>
        <w:t> </w:t>
      </w:r>
      <w:r>
        <w:rPr>
          <w:color w:val="6E6158"/>
        </w:rPr>
        <w:t>recently</w:t>
      </w:r>
      <w:r>
        <w:rPr>
          <w:color w:val="6E6158"/>
          <w:spacing w:val="33"/>
        </w:rPr>
        <w:t> </w:t>
      </w:r>
      <w:r>
        <w:rPr>
          <w:color w:val="6E6158"/>
        </w:rPr>
        <w:t>passed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California</w:t>
      </w:r>
      <w:r>
        <w:rPr>
          <w:color w:val="6E6158"/>
          <w:spacing w:val="33"/>
        </w:rPr>
        <w:t> </w:t>
      </w:r>
      <w:r>
        <w:rPr>
          <w:color w:val="6E6158"/>
        </w:rPr>
        <w:t>bar—and</w:t>
      </w:r>
      <w:r>
        <w:rPr>
          <w:color w:val="6E6158"/>
          <w:spacing w:val="33"/>
        </w:rPr>
        <w:t> </w:t>
      </w:r>
      <w:r>
        <w:rPr>
          <w:color w:val="6E6158"/>
        </w:rPr>
        <w:t>their</w:t>
      </w:r>
      <w:r>
        <w:rPr>
          <w:color w:val="6E6158"/>
          <w:spacing w:val="33"/>
        </w:rPr>
        <w:t> </w:t>
      </w:r>
      <w:r>
        <w:rPr>
          <w:color w:val="6E6158"/>
        </w:rPr>
        <w:t>young</w:t>
      </w:r>
      <w:r>
        <w:rPr>
          <w:color w:val="6E6158"/>
          <w:spacing w:val="33"/>
        </w:rPr>
        <w:t> </w:t>
      </w:r>
      <w:r>
        <w:rPr>
          <w:color w:val="6E6158"/>
        </w:rPr>
        <w:t>daughter,</w:t>
      </w:r>
      <w:r>
        <w:rPr>
          <w:color w:val="6E6158"/>
          <w:spacing w:val="33"/>
        </w:rPr>
        <w:t> </w:t>
      </w:r>
      <w:r>
        <w:rPr>
          <w:color w:val="6E6158"/>
        </w:rPr>
        <w:t>whose</w:t>
      </w:r>
      <w:r>
        <w:rPr>
          <w:color w:val="6E6158"/>
          <w:spacing w:val="33"/>
        </w:rPr>
        <w:t> </w:t>
      </w:r>
      <w:r>
        <w:rPr>
          <w:color w:val="6E6158"/>
        </w:rPr>
        <w:t>curiosity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energy inspire him daily.</w:t>
      </w:r>
    </w:p>
    <w:p>
      <w:pPr>
        <w:pStyle w:val="BodyText"/>
        <w:spacing w:before="1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66390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27603pt;width:1.65pt;height:1.65pt;mso-position-horizontal-relative:page;mso-position-vertical-relative:paragraph;z-index:15729152" id="docshape11" coordorigin="1675,105" coordsize="33,33" path="m1696,137l1687,137,1683,136,1676,129,1675,125,1675,116,1676,112,1683,106,1687,105,1696,105,1699,106,1706,112,1707,116,1707,121,1707,125,1706,129,1699,136,1696,1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spacing w:line="278" w:lineRule="auto" w:before="136"/>
        <w:ind w:left="609" w:right="3692" w:hanging="253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245495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0370pt;width:1.65pt;height:1.65pt;mso-position-horizontal-relative:page;mso-position-vertical-relative:paragraph;z-index:15729664" id="docshape12" coordorigin="1675,387" coordsize="33,33" path="m1696,419l1687,419,1683,418,1676,411,1675,407,1675,398,1676,395,1683,388,1687,387,1696,387,1699,388,1706,395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1223708</wp:posOffset>
                </wp:positionH>
                <wp:positionV relativeFrom="paragraph">
                  <wp:posOffset>338507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6.654114pt;width:1.65pt;height:1.65pt;mso-position-horizontal-relative:page;mso-position-vertical-relative:paragraph;z-index:15730176" id="docshape13" coordorigin="1927,533" coordsize="33,33" path="m1948,566l1939,566,1935,564,1929,558,1927,554,1927,545,1929,541,1935,535,1939,533,1948,533,1952,535,1958,541,1960,545,1960,549,1960,554,1958,558,1952,564,1948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 </w:t>
      </w:r>
      <w:r>
        <w:rPr>
          <w:i/>
          <w:color w:val="6E6158"/>
          <w:sz w:val="20"/>
        </w:rPr>
        <w:t>Valedictorian</w:t>
      </w:r>
      <w:r>
        <w:rPr>
          <w:color w:val="6E6158"/>
          <w:sz w:val="19"/>
        </w:rPr>
        <w:t>, San Joaquin College of Law Executive</w:t>
      </w:r>
      <w:r>
        <w:rPr>
          <w:color w:val="6E6158"/>
          <w:spacing w:val="-14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13"/>
          <w:sz w:val="19"/>
        </w:rPr>
        <w:t> </w: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Joaquin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Agricultural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Review</w:t>
      </w:r>
    </w:p>
    <w:p>
      <w:pPr>
        <w:pStyle w:val="BodyText"/>
        <w:spacing w:before="14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149262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52935pt;width:1.65pt;height:1.65pt;mso-position-horizontal-relative:page;mso-position-vertical-relative:paragraph;z-index:15730688" id="docshape14" coordorigin="1675,235" coordsize="33,33" path="m1696,268l1687,268,1683,266,1676,260,1675,256,1675,247,1676,243,1683,237,1687,235,1696,235,1699,237,1706,243,1707,247,1707,251,1707,256,1706,260,1699,266,1696,2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Los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Angeles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157973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883pt;width:1.65pt;height:1.65pt;mso-position-horizontal-relative:page;mso-position-vertical-relative:paragraph;z-index:15731200" id="docshape1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157706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83pt;width:1.65pt;height:1.65pt;mso-position-horizontal-relative:page;mso-position-vertical-relative:paragraph;z-index:15731712" id="docshape1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Rising</w:t>
      </w:r>
      <w:r>
        <w:rPr>
          <w:color w:val="6E6158"/>
          <w:spacing w:val="-13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11"/>
          <w:sz w:val="19"/>
        </w:rPr>
        <w:t>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2024-</w:t>
      </w:r>
      <w:r>
        <w:rPr>
          <w:color w:val="6E6158"/>
          <w:spacing w:val="-4"/>
          <w:sz w:val="19"/>
        </w:rPr>
        <w:t>2025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224" id="docshape1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Witkin</w:t>
      </w:r>
      <w:r>
        <w:rPr>
          <w:color w:val="6E6158"/>
          <w:spacing w:val="11"/>
        </w:rPr>
        <w:t> </w:t>
      </w:r>
      <w:r>
        <w:rPr>
          <w:color w:val="6E6158"/>
        </w:rPr>
        <w:t>Awards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Academic</w:t>
      </w:r>
      <w:r>
        <w:rPr>
          <w:color w:val="6E6158"/>
          <w:spacing w:val="12"/>
        </w:rPr>
        <w:t> </w:t>
      </w:r>
      <w:r>
        <w:rPr>
          <w:color w:val="6E6158"/>
        </w:rPr>
        <w:t>Excellence,</w:t>
      </w:r>
      <w:r>
        <w:rPr>
          <w:color w:val="6E6158"/>
          <w:spacing w:val="12"/>
        </w:rPr>
        <w:t> </w:t>
      </w:r>
      <w:r>
        <w:rPr>
          <w:color w:val="6E6158"/>
        </w:rPr>
        <w:t>Issued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Witkin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Institute,</w:t>
      </w:r>
      <w:r>
        <w:rPr>
          <w:color w:val="6E6158"/>
          <w:spacing w:val="12"/>
        </w:rPr>
        <w:t> </w:t>
      </w:r>
      <w:r>
        <w:rPr>
          <w:color w:val="6E6158"/>
        </w:rPr>
        <w:t>May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2017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left="356" w:right="1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2736" id="docshape18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3248" id="docshape19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Law Professor, San Joaquin College of Law, August 2022 – </w:t>
      </w:r>
      <w:r>
        <w:rPr>
          <w:color w:val="6E6158"/>
        </w:rPr>
        <w:t>Present Member, Fresno County Bar Association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60037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7338pt;width:1.65pt;height:1.65pt;mso-position-horizontal-relative:page;mso-position-vertical-relative:paragraph;z-index:15733760" id="docshape20" coordorigin="1675,95" coordsize="33,33" path="m1696,127l1687,127,1683,126,1676,119,1675,115,1675,106,1676,102,1683,96,1687,95,1696,95,1699,96,1706,102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Professor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1"/>
        </w:rPr>
        <w:t> </w:t>
      </w:r>
      <w:r>
        <w:rPr>
          <w:color w:val="6E6158"/>
        </w:rPr>
        <w:t>Advanced</w:t>
      </w:r>
      <w:r>
        <w:rPr>
          <w:color w:val="6E6158"/>
          <w:spacing w:val="12"/>
        </w:rPr>
        <w:t> </w:t>
      </w:r>
      <w:r>
        <w:rPr>
          <w:color w:val="6E6158"/>
        </w:rPr>
        <w:t>Research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Writing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Course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85" w:lineRule="auto" w:before="137"/>
        <w:ind w:left="356" w:right="15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250844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157pt;width:1.65pt;height:1.65pt;mso-position-horizontal-relative:page;mso-position-vertical-relative:paragraph;z-index:15734272" id="docshape21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Groundwater Managed: California Takes Its First Step Towards Groundwater Sustainability, </w:t>
      </w:r>
      <w:r>
        <w:rPr>
          <w:i/>
          <w:color w:val="6E6158"/>
          <w:sz w:val="20"/>
        </w:rPr>
        <w:t>San</w:t>
      </w:r>
      <w:r>
        <w:rPr>
          <w:i/>
          <w:color w:val="6E6158"/>
          <w:sz w:val="20"/>
        </w:rPr>
        <w:t> Joaquin Agricultural Law Review</w:t>
      </w:r>
      <w:r>
        <w:rPr>
          <w:color w:val="6E6158"/>
          <w:sz w:val="19"/>
        </w:rPr>
        <w:t>, Volume 25 </w:t>
      </w:r>
      <w:r>
        <w:rPr>
          <w:rFonts w:ascii="Arial" w:hAnsi="Arial"/>
          <w:color w:val="6E6158"/>
          <w:sz w:val="19"/>
        </w:rPr>
        <w:t>· </w:t>
      </w:r>
      <w:r>
        <w:rPr>
          <w:color w:val="6E6158"/>
          <w:sz w:val="19"/>
        </w:rPr>
        <w:t>Oct 1, 2016</w:t>
      </w:r>
    </w:p>
    <w:p>
      <w:pPr>
        <w:pStyle w:val="Heading1"/>
        <w:spacing w:before="287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157916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436pt;width:1.65pt;height:1.65pt;mso-position-horizontal-relative:page;mso-position-vertical-relative:paragraph;z-index:15734784" id="docshape2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jgi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2025-07-14T23:10:55Z</dcterms:created>
  <dcterms:modified xsi:type="dcterms:W3CDTF">2025-07-14T23:10:55Z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m117</vt:lpwstr>
  </property>
</Properties>
</file>