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4"/>
        </w:rPr>
      </w:pPr>
      <w:r>
        <w:rPr>
          <w:rFonts w:ascii="Times New Roman"/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851661</wp:posOffset>
                </wp:positionH>
                <wp:positionV relativeFrom="page">
                  <wp:posOffset>355599</wp:posOffset>
                </wp:positionV>
                <wp:extent cx="6066790" cy="288861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66790" cy="2888615"/>
                          <a:chExt cx="6066790" cy="2888615"/>
                        </a:xfrm>
                      </wpg:grpSpPr>
                      <pic:pic>
                        <pic:nvPicPr>
                          <pic:cNvPr id="2" name="Image 2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3212" cy="26198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3033212" y="268700"/>
                            <a:ext cx="3033395" cy="2620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620010">
                                <a:moveTo>
                                  <a:pt x="3033212" y="2619827"/>
                                </a:moveTo>
                                <a:lnTo>
                                  <a:pt x="0" y="2619827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6198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580943" y="1369338"/>
                            <a:ext cx="1938020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38020" h="320675">
                                <a:moveTo>
                                  <a:pt x="1937740" y="315214"/>
                                </a:moveTo>
                                <a:lnTo>
                                  <a:pt x="0" y="315214"/>
                                </a:lnTo>
                                <a:lnTo>
                                  <a:pt x="0" y="320382"/>
                                </a:lnTo>
                                <a:lnTo>
                                  <a:pt x="1937740" y="320382"/>
                                </a:lnTo>
                                <a:lnTo>
                                  <a:pt x="1937740" y="315214"/>
                                </a:lnTo>
                                <a:close/>
                              </a:path>
                              <a:path w="1938020" h="320675">
                                <a:moveTo>
                                  <a:pt x="19377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1937740" y="5168"/>
                                </a:lnTo>
                                <a:lnTo>
                                  <a:pt x="19377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578848" y="763308"/>
                            <a:ext cx="1955164" cy="8255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18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z w:val="39"/>
                                </w:rPr>
                                <w:t>MINNA C. </w:t>
                              </w:r>
                              <w:r>
                                <w:rPr>
                                  <w:color w:val="FFFFFF"/>
                                  <w:spacing w:val="-14"/>
                                  <w:sz w:val="39"/>
                                </w:rPr>
                                <w:t>YANG</w:t>
                              </w:r>
                            </w:p>
                            <w:p>
                              <w:pPr>
                                <w:spacing w:before="39"/>
                                <w:ind w:left="0" w:right="18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Director</w:t>
                              </w:r>
                            </w:p>
                            <w:p>
                              <w:pPr>
                                <w:spacing w:before="291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Business</w:t>
                                </w:r>
                                <w:r>
                                  <w:rPr>
                                    <w:color w:val="FFFFFF"/>
                                    <w:spacing w:val="3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&amp;</w:t>
                                </w:r>
                                <w:r>
                                  <w:rPr>
                                    <w:color w:val="FFFFFF"/>
                                    <w:spacing w:val="4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Finance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4239537" y="1859626"/>
                            <a:ext cx="63373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Sacramento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622608" y="2019783"/>
                            <a:ext cx="79883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916.920.5286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4702657" y="2019783"/>
                            <a:ext cx="78740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F: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916.920.5286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3830916" y="2226505"/>
                            <a:ext cx="145097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myang@fennemorelaw.com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7.059998pt;margin-top:27.999998pt;width:477.7pt;height:227.45pt;mso-position-horizontal-relative:page;mso-position-vertical-relative:page;z-index:15728640" id="docshapegroup1" coordorigin="1341,560" coordsize="9554,4549">
                <v:shape style="position:absolute;left:1341;top:560;width:2165;height:424" type="#_x0000_t75" id="docshape2" href="https://www.fennemorelaw.com/" stroked="false">
                  <v:imagedata r:id="rId5" o:title=""/>
                </v:shape>
                <v:shape style="position:absolute;left:1341;top:983;width:4777;height:4126" type="#_x0000_t75" id="docshape3" stroked="false">
                  <v:imagedata r:id="rId7" o:title=""/>
                </v:shape>
                <v:rect style="position:absolute;left:6117;top:983;width:4777;height:4126" id="docshape4" filled="true" fillcolor="#262424" stroked="false">
                  <v:fill type="solid"/>
                </v:rect>
                <v:shape style="position:absolute;left:6980;top:2716;width:3052;height:505" id="docshape5" coordorigin="6980,2716" coordsize="3052,505" path="m10032,3213l6980,3213,6980,3221,10032,3221,10032,3213xm10032,2716l6980,2716,6980,2725,10032,2725,10032,2716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6977;top:1762;width:3079;height:1300" type="#_x0000_t202" id="docshape6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18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z w:val="39"/>
                          </w:rPr>
                          <w:t>MINNA C. </w:t>
                        </w:r>
                        <w:r>
                          <w:rPr>
                            <w:color w:val="FFFFFF"/>
                            <w:spacing w:val="-14"/>
                            <w:sz w:val="39"/>
                          </w:rPr>
                          <w:t>YANG</w:t>
                        </w:r>
                      </w:p>
                      <w:p>
                        <w:pPr>
                          <w:spacing w:before="39"/>
                          <w:ind w:left="0" w:right="18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Director</w:t>
                        </w:r>
                      </w:p>
                      <w:p>
                        <w:pPr>
                          <w:spacing w:before="291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Business</w:t>
                          </w:r>
                          <w:r>
                            <w:rPr>
                              <w:color w:val="FFFFFF"/>
                              <w:spacing w:val="3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z w:val="16"/>
                            </w:rPr>
                            <w:t>&amp;</w:t>
                          </w:r>
                          <w:r>
                            <w:rPr>
                              <w:color w:val="FFFFFF"/>
                              <w:spacing w:val="4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Finance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8017;top:3488;width:998;height:200" type="#_x0000_t202" id="docshape7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Sacramento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7046;top:3740;width:1258;height:210" type="#_x0000_t202" id="docshape8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916.920.5286</w:t>
                        </w:r>
                      </w:p>
                    </w:txbxContent>
                  </v:textbox>
                  <w10:wrap type="none"/>
                </v:shape>
                <v:shape style="position:absolute;left:8746;top:3740;width:1240;height:210" type="#_x0000_t202" id="docshape9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F: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916.920.5286</w:t>
                        </w:r>
                      </w:p>
                    </w:txbxContent>
                  </v:textbox>
                  <w10:wrap type="none"/>
                </v:shape>
                <v:shape style="position:absolute;left:7374;top:4066;width:2285;height:200" type="#_x0000_t202" id="docshape10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myang@fennemorelaw.com</w:t>
                          </w:r>
                        </w:hyperlink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spacing w:before="241"/>
        <w:rPr>
          <w:rFonts w:ascii="Times New Roman"/>
          <w:sz w:val="24"/>
        </w:rPr>
      </w:pPr>
    </w:p>
    <w:p>
      <w:pPr>
        <w:pStyle w:val="Heading1"/>
      </w:pPr>
      <w:r>
        <w:rPr>
          <w:color w:val="FF8100"/>
        </w:rPr>
        <w:t>MINNA</w:t>
      </w:r>
      <w:r>
        <w:rPr>
          <w:color w:val="FF8100"/>
          <w:spacing w:val="6"/>
        </w:rPr>
        <w:t> </w:t>
      </w:r>
      <w:r>
        <w:rPr>
          <w:color w:val="FF8100"/>
        </w:rPr>
        <w:t>C.</w:t>
      </w:r>
      <w:r>
        <w:rPr>
          <w:color w:val="FF8100"/>
          <w:spacing w:val="6"/>
        </w:rPr>
        <w:t> </w:t>
      </w:r>
      <w:r>
        <w:rPr>
          <w:color w:val="FF8100"/>
          <w:spacing w:val="-4"/>
        </w:rPr>
        <w:t>YANG</w:t>
      </w:r>
    </w:p>
    <w:p>
      <w:pPr>
        <w:pStyle w:val="BodyText"/>
        <w:spacing w:line="302" w:lineRule="auto" w:before="147"/>
        <w:ind w:left="104" w:right="388"/>
      </w:pPr>
      <w:r>
        <w:rPr>
          <w:color w:val="6E6158"/>
        </w:rPr>
        <w:t>Minna C. Yang is a Director in the Sacramento Office working in Fennemore’s tax practice group.</w:t>
      </w:r>
      <w:r>
        <w:rPr>
          <w:color w:val="6E6158"/>
          <w:spacing w:val="40"/>
        </w:rPr>
        <w:t>  </w:t>
      </w:r>
      <w:r>
        <w:rPr>
          <w:color w:val="6E6158"/>
        </w:rPr>
        <w:t>With</w:t>
      </w:r>
      <w:r>
        <w:rPr>
          <w:color w:val="6E6158"/>
          <w:spacing w:val="14"/>
        </w:rPr>
        <w:t> </w:t>
      </w:r>
      <w:r>
        <w:rPr>
          <w:color w:val="6E6158"/>
        </w:rPr>
        <w:t>over</w:t>
      </w:r>
      <w:r>
        <w:rPr>
          <w:color w:val="6E6158"/>
          <w:spacing w:val="14"/>
        </w:rPr>
        <w:t> </w:t>
      </w:r>
      <w:r>
        <w:rPr>
          <w:color w:val="6E6158"/>
        </w:rPr>
        <w:t>30</w:t>
      </w:r>
      <w:r>
        <w:rPr>
          <w:color w:val="6E6158"/>
          <w:spacing w:val="14"/>
        </w:rPr>
        <w:t> </w:t>
      </w:r>
      <w:r>
        <w:rPr>
          <w:color w:val="6E6158"/>
        </w:rPr>
        <w:t>years</w:t>
      </w:r>
      <w:r>
        <w:rPr>
          <w:color w:val="6E6158"/>
          <w:spacing w:val="14"/>
        </w:rPr>
        <w:t> </w:t>
      </w:r>
      <w:r>
        <w:rPr>
          <w:color w:val="6E6158"/>
        </w:rPr>
        <w:t>of</w:t>
      </w:r>
      <w:r>
        <w:rPr>
          <w:color w:val="6E6158"/>
          <w:spacing w:val="14"/>
        </w:rPr>
        <w:t> </w:t>
      </w:r>
      <w:r>
        <w:rPr>
          <w:color w:val="6E6158"/>
        </w:rPr>
        <w:t>experience</w:t>
      </w:r>
      <w:r>
        <w:rPr>
          <w:color w:val="6E6158"/>
          <w:spacing w:val="14"/>
        </w:rPr>
        <w:t> </w:t>
      </w:r>
      <w:r>
        <w:rPr>
          <w:color w:val="6E6158"/>
        </w:rPr>
        <w:t>as</w:t>
      </w:r>
      <w:r>
        <w:rPr>
          <w:color w:val="6E6158"/>
          <w:spacing w:val="14"/>
        </w:rPr>
        <w:t> </w:t>
      </w:r>
      <w:r>
        <w:rPr>
          <w:color w:val="6E6158"/>
        </w:rPr>
        <w:t>a</w:t>
      </w:r>
      <w:r>
        <w:rPr>
          <w:color w:val="6E6158"/>
          <w:spacing w:val="14"/>
        </w:rPr>
        <w:t> </w:t>
      </w:r>
      <w:r>
        <w:rPr>
          <w:color w:val="6E6158"/>
        </w:rPr>
        <w:t>CPA</w:t>
      </w:r>
      <w:r>
        <w:rPr>
          <w:color w:val="6E6158"/>
          <w:spacing w:val="14"/>
        </w:rPr>
        <w:t> </w:t>
      </w:r>
      <w:r>
        <w:rPr>
          <w:color w:val="6E6158"/>
        </w:rPr>
        <w:t>and</w:t>
      </w:r>
      <w:r>
        <w:rPr>
          <w:color w:val="6E6158"/>
          <w:spacing w:val="14"/>
        </w:rPr>
        <w:t> </w:t>
      </w:r>
      <w:r>
        <w:rPr>
          <w:color w:val="6E6158"/>
        </w:rPr>
        <w:t>attorney,</w:t>
      </w:r>
      <w:r>
        <w:rPr>
          <w:color w:val="6E6158"/>
          <w:spacing w:val="14"/>
        </w:rPr>
        <w:t> </w:t>
      </w:r>
      <w:r>
        <w:rPr>
          <w:color w:val="6E6158"/>
        </w:rPr>
        <w:t>Minna</w:t>
      </w:r>
      <w:r>
        <w:rPr>
          <w:color w:val="6E6158"/>
          <w:spacing w:val="14"/>
        </w:rPr>
        <w:t> </w:t>
      </w:r>
      <w:r>
        <w:rPr>
          <w:color w:val="6E6158"/>
        </w:rPr>
        <w:t>is</w:t>
      </w:r>
      <w:r>
        <w:rPr>
          <w:color w:val="6E6158"/>
          <w:spacing w:val="14"/>
        </w:rPr>
        <w:t> </w:t>
      </w:r>
      <w:r>
        <w:rPr>
          <w:color w:val="6E6158"/>
        </w:rPr>
        <w:t>experienced</w:t>
      </w:r>
      <w:r>
        <w:rPr>
          <w:color w:val="6E6158"/>
          <w:spacing w:val="14"/>
        </w:rPr>
        <w:t> </w:t>
      </w:r>
      <w:r>
        <w:rPr>
          <w:color w:val="6E6158"/>
        </w:rPr>
        <w:t>in</w:t>
      </w:r>
    </w:p>
    <w:p>
      <w:pPr>
        <w:pStyle w:val="BodyText"/>
        <w:spacing w:line="224" w:lineRule="exact"/>
        <w:ind w:left="104"/>
      </w:pPr>
      <w:r>
        <w:rPr>
          <w:color w:val="6E6158"/>
        </w:rPr>
        <w:t>federal</w:t>
      </w:r>
      <w:r>
        <w:rPr>
          <w:color w:val="6E6158"/>
          <w:spacing w:val="11"/>
        </w:rPr>
        <w:t> </w:t>
      </w:r>
      <w:r>
        <w:rPr>
          <w:color w:val="6E6158"/>
        </w:rPr>
        <w:t>and</w:t>
      </w:r>
      <w:r>
        <w:rPr>
          <w:color w:val="6E6158"/>
          <w:spacing w:val="12"/>
        </w:rPr>
        <w:t> </w:t>
      </w:r>
      <w:r>
        <w:rPr>
          <w:color w:val="6E6158"/>
        </w:rPr>
        <w:t>state</w:t>
      </w:r>
      <w:r>
        <w:rPr>
          <w:color w:val="6E6158"/>
          <w:spacing w:val="12"/>
        </w:rPr>
        <w:t> </w:t>
      </w:r>
      <w:r>
        <w:rPr>
          <w:color w:val="6E6158"/>
        </w:rPr>
        <w:t>income</w:t>
      </w:r>
      <w:r>
        <w:rPr>
          <w:color w:val="6E6158"/>
          <w:spacing w:val="11"/>
        </w:rPr>
        <w:t> </w:t>
      </w:r>
      <w:r>
        <w:rPr>
          <w:color w:val="6E6158"/>
        </w:rPr>
        <w:t>tax</w:t>
      </w:r>
      <w:r>
        <w:rPr>
          <w:color w:val="6E6158"/>
          <w:spacing w:val="12"/>
        </w:rPr>
        <w:t> </w:t>
      </w:r>
      <w:r>
        <w:rPr>
          <w:color w:val="6E6158"/>
        </w:rPr>
        <w:t>planning</w:t>
      </w:r>
      <w:r>
        <w:rPr>
          <w:color w:val="6E6158"/>
          <w:spacing w:val="12"/>
        </w:rPr>
        <w:t> </w:t>
      </w:r>
      <w:r>
        <w:rPr>
          <w:color w:val="6E6158"/>
        </w:rPr>
        <w:t>for</w:t>
      </w:r>
      <w:r>
        <w:rPr>
          <w:color w:val="6E6158"/>
          <w:spacing w:val="12"/>
        </w:rPr>
        <w:t> </w:t>
      </w:r>
      <w:r>
        <w:rPr>
          <w:color w:val="6E6158"/>
        </w:rPr>
        <w:t>business,</w:t>
      </w:r>
      <w:r>
        <w:rPr>
          <w:color w:val="6E6158"/>
          <w:spacing w:val="11"/>
        </w:rPr>
        <w:t> </w:t>
      </w:r>
      <w:r>
        <w:rPr>
          <w:color w:val="6E6158"/>
        </w:rPr>
        <w:t>real</w:t>
      </w:r>
      <w:r>
        <w:rPr>
          <w:color w:val="6E6158"/>
          <w:spacing w:val="12"/>
        </w:rPr>
        <w:t> </w:t>
      </w:r>
      <w:r>
        <w:rPr>
          <w:color w:val="6E6158"/>
        </w:rPr>
        <w:t>estate</w:t>
      </w:r>
      <w:r>
        <w:rPr>
          <w:color w:val="6E6158"/>
          <w:spacing w:val="12"/>
        </w:rPr>
        <w:t> </w:t>
      </w:r>
      <w:r>
        <w:rPr>
          <w:color w:val="6E6158"/>
        </w:rPr>
        <w:t>and</w:t>
      </w:r>
      <w:r>
        <w:rPr>
          <w:color w:val="6E6158"/>
          <w:spacing w:val="12"/>
        </w:rPr>
        <w:t> </w:t>
      </w:r>
      <w:r>
        <w:rPr>
          <w:color w:val="6E6158"/>
        </w:rPr>
        <w:t>estate</w:t>
      </w:r>
      <w:r>
        <w:rPr>
          <w:color w:val="6E6158"/>
          <w:spacing w:val="11"/>
        </w:rPr>
        <w:t> </w:t>
      </w:r>
      <w:r>
        <w:rPr>
          <w:color w:val="6E6158"/>
        </w:rPr>
        <w:t>planning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transactions.</w:t>
      </w:r>
    </w:p>
    <w:p>
      <w:pPr>
        <w:pStyle w:val="BodyText"/>
        <w:spacing w:before="52"/>
        <w:ind w:left="104"/>
      </w:pPr>
      <w:r>
        <w:rPr>
          <w:color w:val="6E6158"/>
        </w:rPr>
        <w:t>Minna</w:t>
      </w:r>
      <w:r>
        <w:rPr>
          <w:color w:val="6E6158"/>
          <w:spacing w:val="12"/>
        </w:rPr>
        <w:t> </w:t>
      </w:r>
      <w:r>
        <w:rPr>
          <w:color w:val="6E6158"/>
        </w:rPr>
        <w:t>is</w:t>
      </w:r>
      <w:r>
        <w:rPr>
          <w:color w:val="6E6158"/>
          <w:spacing w:val="12"/>
        </w:rPr>
        <w:t> </w:t>
      </w:r>
      <w:r>
        <w:rPr>
          <w:color w:val="6E6158"/>
        </w:rPr>
        <w:t>known</w:t>
      </w:r>
      <w:r>
        <w:rPr>
          <w:color w:val="6E6158"/>
          <w:spacing w:val="13"/>
        </w:rPr>
        <w:t> </w:t>
      </w:r>
      <w:r>
        <w:rPr>
          <w:color w:val="6E6158"/>
        </w:rPr>
        <w:t>for</w:t>
      </w:r>
      <w:r>
        <w:rPr>
          <w:color w:val="6E6158"/>
          <w:spacing w:val="12"/>
        </w:rPr>
        <w:t> </w:t>
      </w:r>
      <w:r>
        <w:rPr>
          <w:color w:val="6E6158"/>
        </w:rPr>
        <w:t>her</w:t>
      </w:r>
      <w:r>
        <w:rPr>
          <w:color w:val="6E6158"/>
          <w:spacing w:val="13"/>
        </w:rPr>
        <w:t> </w:t>
      </w:r>
      <w:r>
        <w:rPr>
          <w:color w:val="6E6158"/>
        </w:rPr>
        <w:t>efficiency</w:t>
      </w:r>
      <w:r>
        <w:rPr>
          <w:color w:val="6E6158"/>
          <w:spacing w:val="12"/>
        </w:rPr>
        <w:t> </w:t>
      </w:r>
      <w:r>
        <w:rPr>
          <w:color w:val="6E6158"/>
        </w:rPr>
        <w:t>and</w:t>
      </w:r>
      <w:r>
        <w:rPr>
          <w:color w:val="6E6158"/>
          <w:spacing w:val="12"/>
        </w:rPr>
        <w:t> </w:t>
      </w:r>
      <w:r>
        <w:rPr>
          <w:color w:val="6E6158"/>
        </w:rPr>
        <w:t>timely</w:t>
      </w:r>
      <w:r>
        <w:rPr>
          <w:color w:val="6E6158"/>
          <w:spacing w:val="13"/>
        </w:rPr>
        <w:t> </w:t>
      </w:r>
      <w:r>
        <w:rPr>
          <w:color w:val="6E6158"/>
        </w:rPr>
        <w:t>execution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3"/>
        </w:rPr>
        <w:t> </w:t>
      </w:r>
      <w:r>
        <w:rPr>
          <w:color w:val="6E6158"/>
        </w:rPr>
        <w:t>complex</w:t>
      </w:r>
      <w:r>
        <w:rPr>
          <w:color w:val="6E6158"/>
          <w:spacing w:val="12"/>
        </w:rPr>
        <w:t> </w:t>
      </w:r>
      <w:r>
        <w:rPr>
          <w:color w:val="6E6158"/>
        </w:rPr>
        <w:t>business</w:t>
      </w:r>
      <w:r>
        <w:rPr>
          <w:color w:val="6E6158"/>
          <w:spacing w:val="13"/>
        </w:rPr>
        <w:t> </w:t>
      </w:r>
      <w:r>
        <w:rPr>
          <w:color w:val="6E6158"/>
        </w:rPr>
        <w:t>transactions</w:t>
      </w:r>
      <w:r>
        <w:rPr>
          <w:color w:val="6E6158"/>
          <w:spacing w:val="12"/>
        </w:rPr>
        <w:t> </w:t>
      </w:r>
      <w:r>
        <w:rPr>
          <w:color w:val="6E6158"/>
          <w:spacing w:val="-5"/>
        </w:rPr>
        <w:t>and</w:t>
      </w:r>
    </w:p>
    <w:p>
      <w:pPr>
        <w:pStyle w:val="BodyText"/>
        <w:spacing w:line="292" w:lineRule="auto" w:before="60"/>
        <w:ind w:left="104"/>
      </w:pPr>
      <w:r>
        <w:rPr>
          <w:color w:val="6E6158"/>
        </w:rPr>
        <w:t>restructuring. Working often with multi-generation enterprises, she ensures that client projects </w:t>
      </w:r>
      <w:r>
        <w:rPr>
          <w:color w:val="6E6158"/>
        </w:rPr>
        <w:t>are</w:t>
      </w:r>
      <w:r>
        <w:rPr>
          <w:color w:val="6E6158"/>
          <w:spacing w:val="40"/>
        </w:rPr>
        <w:t> </w:t>
      </w:r>
      <w:r>
        <w:rPr>
          <w:color w:val="6E6158"/>
        </w:rPr>
        <w:t>completed</w:t>
      </w:r>
      <w:r>
        <w:rPr>
          <w:color w:val="6E6158"/>
          <w:spacing w:val="35"/>
        </w:rPr>
        <w:t> </w:t>
      </w:r>
      <w:r>
        <w:rPr>
          <w:color w:val="6E6158"/>
        </w:rPr>
        <w:t>within</w:t>
      </w:r>
      <w:r>
        <w:rPr>
          <w:color w:val="6E6158"/>
          <w:spacing w:val="35"/>
        </w:rPr>
        <w:t> </w:t>
      </w:r>
      <w:r>
        <w:rPr>
          <w:color w:val="6E6158"/>
        </w:rPr>
        <w:t>critical</w:t>
      </w:r>
      <w:r>
        <w:rPr>
          <w:color w:val="6E6158"/>
          <w:spacing w:val="35"/>
        </w:rPr>
        <w:t> </w:t>
      </w:r>
      <w:r>
        <w:rPr>
          <w:color w:val="6E6158"/>
        </w:rPr>
        <w:t>deadlines</w:t>
      </w:r>
      <w:r>
        <w:rPr>
          <w:color w:val="6E6158"/>
          <w:spacing w:val="35"/>
        </w:rPr>
        <w:t> </w:t>
      </w:r>
      <w:r>
        <w:rPr>
          <w:color w:val="6E6158"/>
        </w:rPr>
        <w:t>thus</w:t>
      </w:r>
      <w:r>
        <w:rPr>
          <w:color w:val="6E6158"/>
          <w:spacing w:val="35"/>
        </w:rPr>
        <w:t> </w:t>
      </w:r>
      <w:r>
        <w:rPr>
          <w:color w:val="6E6158"/>
        </w:rPr>
        <w:t>adding</w:t>
      </w:r>
      <w:r>
        <w:rPr>
          <w:color w:val="6E6158"/>
          <w:spacing w:val="35"/>
        </w:rPr>
        <w:t> </w:t>
      </w:r>
      <w:r>
        <w:rPr>
          <w:color w:val="6E6158"/>
        </w:rPr>
        <w:t>significant</w:t>
      </w:r>
      <w:r>
        <w:rPr>
          <w:color w:val="6E6158"/>
          <w:spacing w:val="35"/>
        </w:rPr>
        <w:t> </w:t>
      </w:r>
      <w:r>
        <w:rPr>
          <w:color w:val="6E6158"/>
        </w:rPr>
        <w:t>value</w:t>
      </w:r>
      <w:r>
        <w:rPr>
          <w:color w:val="6E6158"/>
          <w:spacing w:val="35"/>
        </w:rPr>
        <w:t> </w:t>
      </w:r>
      <w:r>
        <w:rPr>
          <w:color w:val="6E6158"/>
        </w:rPr>
        <w:t>to</w:t>
      </w:r>
      <w:r>
        <w:rPr>
          <w:color w:val="6E6158"/>
          <w:spacing w:val="35"/>
        </w:rPr>
        <w:t> </w:t>
      </w:r>
      <w:r>
        <w:rPr>
          <w:color w:val="6E6158"/>
        </w:rPr>
        <w:t>their</w:t>
      </w:r>
      <w:r>
        <w:rPr>
          <w:color w:val="6E6158"/>
          <w:spacing w:val="35"/>
        </w:rPr>
        <w:t> </w:t>
      </w:r>
      <w:r>
        <w:rPr>
          <w:color w:val="6E6158"/>
        </w:rPr>
        <w:t>business</w:t>
      </w:r>
      <w:r>
        <w:rPr>
          <w:color w:val="6E6158"/>
          <w:spacing w:val="35"/>
        </w:rPr>
        <w:t> </w:t>
      </w:r>
      <w:r>
        <w:rPr>
          <w:color w:val="6E6158"/>
        </w:rPr>
        <w:t>operations.</w:t>
      </w:r>
    </w:p>
    <w:p>
      <w:pPr>
        <w:pStyle w:val="BodyText"/>
        <w:spacing w:line="292" w:lineRule="auto" w:before="1"/>
        <w:ind w:left="104" w:right="397"/>
      </w:pPr>
      <w:r>
        <w:rPr>
          <w:color w:val="6E6158"/>
        </w:rPr>
        <w:t>Areas of specific knowledge include Like-Kind Exchanges, Qualified Opportunity Zone </w:t>
      </w:r>
      <w:r>
        <w:rPr>
          <w:color w:val="6E6158"/>
        </w:rPr>
        <w:t>Funds,</w:t>
      </w:r>
      <w:r>
        <w:rPr>
          <w:color w:val="6E6158"/>
          <w:spacing w:val="40"/>
        </w:rPr>
        <w:t> </w:t>
      </w:r>
      <w:r>
        <w:rPr>
          <w:color w:val="6E6158"/>
        </w:rPr>
        <w:t>and Pass-Through Entity Taxation.</w:t>
      </w:r>
    </w:p>
    <w:p>
      <w:pPr>
        <w:pStyle w:val="BodyText"/>
        <w:spacing w:line="292" w:lineRule="auto" w:before="205"/>
        <w:ind w:left="104" w:right="397"/>
      </w:pPr>
      <w:r>
        <w:rPr>
          <w:color w:val="6E6158"/>
        </w:rPr>
        <w:t>Minna enjoys working with families and business owners to accomplish their succession </w:t>
      </w:r>
      <w:r>
        <w:rPr>
          <w:color w:val="6E6158"/>
        </w:rPr>
        <w:t>planning</w:t>
      </w:r>
      <w:r>
        <w:rPr>
          <w:color w:val="6E6158"/>
          <w:spacing w:val="40"/>
        </w:rPr>
        <w:t> </w:t>
      </w:r>
      <w:r>
        <w:rPr>
          <w:color w:val="6E6158"/>
        </w:rPr>
        <w:t>objectives in a tax-efficient manner.</w:t>
      </w:r>
    </w:p>
    <w:p>
      <w:pPr>
        <w:pStyle w:val="BodyText"/>
        <w:spacing w:line="292" w:lineRule="auto" w:before="196"/>
        <w:ind w:left="104"/>
      </w:pPr>
      <w:r>
        <w:rPr>
          <w:color w:val="6E6158"/>
        </w:rPr>
        <w:t>When not working Minna enjoys spending time with family over delicious food and attending </w:t>
      </w:r>
      <w:r>
        <w:rPr>
          <w:color w:val="6E6158"/>
        </w:rPr>
        <w:t>live</w:t>
      </w:r>
      <w:r>
        <w:rPr>
          <w:color w:val="6E6158"/>
          <w:spacing w:val="40"/>
        </w:rPr>
        <w:t> </w:t>
      </w:r>
      <w:r>
        <w:rPr>
          <w:color w:val="6E6158"/>
        </w:rPr>
        <w:t>performances of music and theater.</w:t>
      </w:r>
    </w:p>
    <w:p>
      <w:pPr>
        <w:pStyle w:val="Heading1"/>
        <w:spacing w:before="171"/>
      </w:pPr>
      <w:r>
        <w:rPr>
          <w:color w:val="FF8100"/>
          <w:spacing w:val="-2"/>
        </w:rPr>
        <w:t>EDUCATION</w:t>
      </w:r>
    </w:p>
    <w:p>
      <w:pPr>
        <w:pStyle w:val="BodyText"/>
        <w:spacing w:before="147"/>
        <w:ind w:left="35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1063521</wp:posOffset>
                </wp:positionH>
                <wp:positionV relativeFrom="paragraph">
                  <wp:posOffset>152626</wp:posOffset>
                </wp:positionV>
                <wp:extent cx="20955" cy="20955"/>
                <wp:effectExtent l="0" t="0" r="0" b="0"/>
                <wp:wrapNone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2.017821pt;width:1.65pt;height:1.65pt;mso-position-horizontal-relative:page;mso-position-vertical-relative:paragraph;z-index:15729152" id="docshape11" coordorigin="1675,240" coordsize="33,33" path="m1696,273l1687,273,1683,271,1676,265,1675,261,1675,252,1676,248,1683,242,1687,240,1696,240,1699,242,1706,248,1707,252,1707,257,1707,261,1706,265,1699,271,1696,27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J.D.,</w:t>
      </w:r>
      <w:r>
        <w:rPr>
          <w:color w:val="6E6158"/>
          <w:spacing w:val="10"/>
        </w:rPr>
        <w:t> </w:t>
      </w:r>
      <w:r>
        <w:rPr>
          <w:color w:val="6E6158"/>
        </w:rPr>
        <w:t>Lincoln</w:t>
      </w:r>
      <w:r>
        <w:rPr>
          <w:color w:val="6E6158"/>
          <w:spacing w:val="10"/>
        </w:rPr>
        <w:t> </w:t>
      </w:r>
      <w:r>
        <w:rPr>
          <w:color w:val="6E6158"/>
        </w:rPr>
        <w:t>Law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School</w:t>
      </w:r>
    </w:p>
    <w:p>
      <w:pPr>
        <w:pStyle w:val="BodyText"/>
        <w:spacing w:line="420" w:lineRule="auto" w:before="174"/>
        <w:ind w:left="356" w:right="379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1063521</wp:posOffset>
                </wp:positionH>
                <wp:positionV relativeFrom="paragraph">
                  <wp:posOffset>174888</wp:posOffset>
                </wp:positionV>
                <wp:extent cx="20955" cy="20955"/>
                <wp:effectExtent l="0" t="0" r="0" b="0"/>
                <wp:wrapNone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3.770755pt;width:1.65pt;height:1.65pt;mso-position-horizontal-relative:page;mso-position-vertical-relative:paragraph;z-index:15729664" id="docshape12" coordorigin="1675,275" coordsize="33,33" path="m1696,308l1687,308,1683,306,1676,300,1675,296,1675,287,1676,283,1683,277,1687,275,1696,275,1699,277,1706,283,1707,287,1707,292,1707,296,1706,300,1699,306,1696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1063521</wp:posOffset>
                </wp:positionH>
                <wp:positionV relativeFrom="paragraph">
                  <wp:posOffset>433254</wp:posOffset>
                </wp:positionV>
                <wp:extent cx="20955" cy="20955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34.114498pt;width:1.65pt;height:1.65pt;mso-position-horizontal-relative:page;mso-position-vertical-relative:paragraph;z-index:15730176" id="docshape13" coordorigin="1675,682" coordsize="33,33" path="m1696,715l1687,715,1683,713,1676,707,1675,703,1675,694,1676,690,1683,684,1687,682,1696,682,1699,684,1706,690,1707,694,1707,699,1707,703,1706,707,1699,713,1696,71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M.S., Taxation, Golden Gate University, San </w:t>
      </w:r>
      <w:r>
        <w:rPr>
          <w:color w:val="6E6158"/>
        </w:rPr>
        <w:t>Francisco</w:t>
      </w:r>
      <w:r>
        <w:rPr>
          <w:color w:val="6E6158"/>
        </w:rPr>
        <w:t> B.S., California State University, Sacramento</w:t>
      </w:r>
    </w:p>
    <w:p>
      <w:pPr>
        <w:pStyle w:val="Heading1"/>
        <w:spacing w:before="167"/>
      </w:pPr>
      <w:r>
        <w:rPr>
          <w:color w:val="FF8100"/>
        </w:rPr>
        <w:t>AREAS</w:t>
      </w:r>
      <w:r>
        <w:rPr>
          <w:color w:val="FF8100"/>
          <w:spacing w:val="6"/>
        </w:rPr>
        <w:t> </w:t>
      </w:r>
      <w:r>
        <w:rPr>
          <w:color w:val="FF8100"/>
        </w:rPr>
        <w:t>OF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PRACTICE</w:t>
      </w:r>
    </w:p>
    <w:p>
      <w:pPr>
        <w:pStyle w:val="BodyText"/>
        <w:spacing w:line="420" w:lineRule="auto" w:before="147"/>
        <w:ind w:left="356" w:right="657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1063521</wp:posOffset>
                </wp:positionH>
                <wp:positionV relativeFrom="paragraph">
                  <wp:posOffset>152871</wp:posOffset>
                </wp:positionV>
                <wp:extent cx="20955" cy="20955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2.03715pt;width:1.65pt;height:1.65pt;mso-position-horizontal-relative:page;mso-position-vertical-relative:paragraph;z-index:15730688" id="docshape14" coordorigin="1675,241" coordsize="33,33" path="m1696,273l1687,273,1683,272,1676,265,1675,262,1675,253,1676,249,1683,242,1687,241,1696,241,1699,242,1706,249,1707,253,1707,257,1707,262,1706,265,1699,272,1696,27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1063521</wp:posOffset>
                </wp:positionH>
                <wp:positionV relativeFrom="paragraph">
                  <wp:posOffset>416404</wp:posOffset>
                </wp:positionV>
                <wp:extent cx="20955" cy="20955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32.787766pt;width:1.65pt;height:1.65pt;mso-position-horizontal-relative:page;mso-position-vertical-relative:paragraph;z-index:15731200" id="docshape15" coordorigin="1675,656" coordsize="33,33" path="m1696,688l1687,688,1683,687,1676,680,1675,677,1675,668,1676,664,1683,657,1687,656,1696,656,1699,657,1706,664,1707,668,1707,672,1707,677,1706,680,1699,687,1696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1063521</wp:posOffset>
                </wp:positionH>
                <wp:positionV relativeFrom="paragraph">
                  <wp:posOffset>674770</wp:posOffset>
                </wp:positionV>
                <wp:extent cx="20955" cy="20955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53.131508pt;width:1.65pt;height:1.65pt;mso-position-horizontal-relative:page;mso-position-vertical-relative:paragraph;z-index:15731712" id="docshape16" coordorigin="1675,1063" coordsize="33,33" path="m1696,1095l1687,1095,1683,1094,1676,1087,1675,1083,1675,1074,1676,1071,1683,1064,1687,1063,1696,1063,1699,1064,1706,1071,1707,1074,1707,1079,1707,1083,1706,1087,1699,1094,1696,109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Business &amp; Finance Mergers &amp; </w:t>
      </w:r>
      <w:r>
        <w:rPr>
          <w:color w:val="6E6158"/>
        </w:rPr>
        <w:t>Acquisitions Real Estate</w:t>
      </w:r>
    </w:p>
    <w:p>
      <w:pPr>
        <w:pStyle w:val="BodyText"/>
        <w:spacing w:line="231" w:lineRule="exact"/>
        <w:ind w:left="35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1063521</wp:posOffset>
                </wp:positionH>
                <wp:positionV relativeFrom="paragraph">
                  <wp:posOffset>63179</wp:posOffset>
                </wp:positionV>
                <wp:extent cx="20955" cy="20955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4.9748pt;width:1.65pt;height:1.65pt;mso-position-horizontal-relative:page;mso-position-vertical-relative:paragraph;z-index:15732224" id="docshape17" coordorigin="1675,99" coordsize="33,33" path="m1696,132l1687,132,1683,130,1676,124,1675,120,1675,111,1676,107,1683,101,1687,99,1696,99,1699,101,1706,107,1707,111,1707,116,1707,120,1706,124,1699,130,1696,13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Tax</w:t>
      </w:r>
      <w:r>
        <w:rPr>
          <w:color w:val="6E6158"/>
          <w:spacing w:val="-4"/>
        </w:rPr>
        <w:t> </w:t>
      </w:r>
      <w:r>
        <w:rPr>
          <w:color w:val="6E6158"/>
          <w:spacing w:val="-5"/>
        </w:rPr>
        <w:t>Law</w:t>
      </w:r>
    </w:p>
    <w:p>
      <w:pPr>
        <w:pStyle w:val="BodyText"/>
        <w:spacing w:line="420" w:lineRule="auto" w:before="182"/>
        <w:ind w:left="356" w:right="712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1063521</wp:posOffset>
                </wp:positionH>
                <wp:positionV relativeFrom="paragraph">
                  <wp:posOffset>175133</wp:posOffset>
                </wp:positionV>
                <wp:extent cx="20955" cy="20955"/>
                <wp:effectExtent l="0" t="0" r="0" b="0"/>
                <wp:wrapNone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3.790056pt;width:1.65pt;height:1.65pt;mso-position-horizontal-relative:page;mso-position-vertical-relative:paragraph;z-index:15732736" id="docshape18" coordorigin="1675,276" coordsize="33,33" path="m1696,308l1687,308,1683,307,1676,300,1675,297,1675,288,1676,284,1683,277,1687,276,1696,276,1699,277,1706,284,1707,288,1707,292,1707,297,1706,300,1699,307,1696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1063521</wp:posOffset>
                </wp:positionH>
                <wp:positionV relativeFrom="paragraph">
                  <wp:posOffset>438666</wp:posOffset>
                </wp:positionV>
                <wp:extent cx="20955" cy="20955"/>
                <wp:effectExtent l="0" t="0" r="0" b="0"/>
                <wp:wrapNone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34.540672pt;width:1.65pt;height:1.65pt;mso-position-horizontal-relative:page;mso-position-vertical-relative:paragraph;z-index:15733248" id="docshape19" coordorigin="1675,691" coordsize="33,33" path="m1696,723l1687,723,1683,722,1676,715,1675,712,1675,703,1676,699,1683,692,1687,691,1696,691,1699,692,1706,699,1707,703,1707,707,1707,712,1706,715,1699,722,1696,72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Trusts &amp; Estates Estate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Planning</w:t>
      </w:r>
    </w:p>
    <w:p>
      <w:pPr>
        <w:pStyle w:val="Heading1"/>
        <w:spacing w:before="160"/>
      </w:pPr>
      <w:r>
        <w:rPr>
          <w:color w:val="FF8100"/>
        </w:rPr>
        <w:t>ARTICLES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PRESENTATIONS</w:t>
      </w:r>
    </w:p>
    <w:p>
      <w:pPr>
        <w:pStyle w:val="Heading1"/>
        <w:spacing w:after="0"/>
        <w:sectPr>
          <w:type w:val="continuous"/>
          <w:pgSz w:w="12240" w:h="15840"/>
          <w:pgMar w:top="560" w:bottom="280" w:left="1440" w:right="1440"/>
        </w:sectPr>
      </w:pPr>
    </w:p>
    <w:p>
      <w:pPr>
        <w:pStyle w:val="BodyText"/>
        <w:spacing w:line="292" w:lineRule="auto" w:before="88"/>
        <w:ind w:left="356" w:right="38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1063521</wp:posOffset>
                </wp:positionH>
                <wp:positionV relativeFrom="paragraph">
                  <wp:posOffset>208621</wp:posOffset>
                </wp:positionV>
                <wp:extent cx="20955" cy="20955"/>
                <wp:effectExtent l="0" t="0" r="0" b="0"/>
                <wp:wrapNone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6.426893pt;width:1.65pt;height:1.65pt;mso-position-horizontal-relative:page;mso-position-vertical-relative:paragraph;z-index:15733760" id="docshape20" coordorigin="1675,329" coordsize="33,33" path="m1696,361l1687,361,1683,359,1676,353,1675,349,1675,340,1676,336,1683,330,1687,329,1696,329,1699,330,1706,336,1707,340,1707,345,1707,349,1706,353,1699,359,1696,36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Co-Author, “</w:t>
      </w:r>
      <w:hyperlink r:id="rId11">
        <w:r>
          <w:rPr>
            <w:color w:val="F5821F"/>
          </w:rPr>
          <w:t>Key considerations and legal requirements when buying and selling </w:t>
        </w:r>
        <w:r>
          <w:rPr>
            <w:color w:val="F5821F"/>
          </w:rPr>
          <w:t>boomer-</w:t>
        </w:r>
      </w:hyperlink>
      <w:r>
        <w:rPr>
          <w:color w:val="F5821F"/>
        </w:rPr>
        <w:t> </w:t>
      </w:r>
      <w:hyperlink r:id="rId11">
        <w:r>
          <w:rPr>
            <w:color w:val="F5821F"/>
          </w:rPr>
          <w:t>owned businesses</w:t>
        </w:r>
      </w:hyperlink>
      <w:r>
        <w:rPr>
          <w:color w:val="6E6158"/>
        </w:rPr>
        <w:t>,” Sacramento Business Journal, August 9, 2024</w:t>
      </w:r>
    </w:p>
    <w:p>
      <w:pPr>
        <w:pStyle w:val="BodyText"/>
        <w:spacing w:line="292" w:lineRule="auto" w:before="132"/>
        <w:ind w:left="356" w:right="38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1063521</wp:posOffset>
                </wp:positionH>
                <wp:positionV relativeFrom="paragraph">
                  <wp:posOffset>236191</wp:posOffset>
                </wp:positionV>
                <wp:extent cx="20955" cy="20955"/>
                <wp:effectExtent l="0" t="0" r="0" b="0"/>
                <wp:wrapNone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8.597742pt;width:1.65pt;height:1.65pt;mso-position-horizontal-relative:page;mso-position-vertical-relative:paragraph;z-index:15734272" id="docshape21" coordorigin="1675,372" coordsize="33,33" path="m1696,405l1687,405,1683,403,1676,397,1675,393,1675,384,1676,380,1683,374,1687,372,1696,372,1699,374,1706,380,1707,384,1707,388,1707,393,1706,397,1699,403,1696,40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Co-Author, “</w:t>
      </w:r>
      <w:hyperlink r:id="rId12">
        <w:r>
          <w:rPr>
            <w:color w:val="F5821F"/>
          </w:rPr>
          <w:t>What the FTC’s new noncompete rule means for California </w:t>
        </w:r>
        <w:r>
          <w:rPr>
            <w:color w:val="F5821F"/>
          </w:rPr>
          <w:t>businesses</w:t>
        </w:r>
      </w:hyperlink>
      <w:r>
        <w:rPr>
          <w:color w:val="6E6158"/>
        </w:rPr>
        <w:t>,” Sacramento Business Journal, August 8, 2024</w:t>
      </w:r>
    </w:p>
    <w:p>
      <w:pPr>
        <w:pStyle w:val="BodyText"/>
        <w:spacing w:before="123"/>
        <w:ind w:left="35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1063521</wp:posOffset>
                </wp:positionH>
                <wp:positionV relativeFrom="paragraph">
                  <wp:posOffset>142809</wp:posOffset>
                </wp:positionV>
                <wp:extent cx="20955" cy="20955"/>
                <wp:effectExtent l="0" t="0" r="0" b="0"/>
                <wp:wrapNone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1.244841pt;width:1.65pt;height:1.65pt;mso-position-horizontal-relative:page;mso-position-vertical-relative:paragraph;z-index:15734784" id="docshape22" coordorigin="1675,225" coordsize="33,33" path="m1696,257l1687,257,1683,256,1676,250,1675,246,1675,237,1676,233,1683,226,1687,225,1696,225,1699,226,1706,233,1707,237,1707,241,1707,246,1706,250,1699,256,1696,25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Co-Author,</w:t>
      </w:r>
      <w:r>
        <w:rPr>
          <w:color w:val="6E6158"/>
          <w:spacing w:val="10"/>
        </w:rPr>
        <w:t> </w:t>
      </w:r>
      <w:r>
        <w:rPr>
          <w:color w:val="6E6158"/>
        </w:rPr>
        <w:t>“Corporate</w:t>
      </w:r>
      <w:r>
        <w:rPr>
          <w:color w:val="6E6158"/>
          <w:spacing w:val="11"/>
        </w:rPr>
        <w:t> </w:t>
      </w:r>
      <w:r>
        <w:rPr>
          <w:color w:val="6E6158"/>
        </w:rPr>
        <w:t>Transparency</w:t>
      </w:r>
      <w:r>
        <w:rPr>
          <w:color w:val="6E6158"/>
          <w:spacing w:val="11"/>
        </w:rPr>
        <w:t> </w:t>
      </w:r>
      <w:r>
        <w:rPr>
          <w:color w:val="6E6158"/>
        </w:rPr>
        <w:t>Act,”</w:t>
      </w:r>
      <w:r>
        <w:rPr>
          <w:color w:val="6E6158"/>
          <w:spacing w:val="11"/>
        </w:rPr>
        <w:t> </w:t>
      </w:r>
      <w:r>
        <w:rPr>
          <w:color w:val="6E6158"/>
        </w:rPr>
        <w:t>Firm</w:t>
      </w:r>
      <w:r>
        <w:rPr>
          <w:color w:val="6E6158"/>
          <w:spacing w:val="11"/>
        </w:rPr>
        <w:t> </w:t>
      </w:r>
      <w:r>
        <w:rPr>
          <w:color w:val="6E6158"/>
        </w:rPr>
        <w:t>Newsletter,</w:t>
      </w:r>
      <w:r>
        <w:rPr>
          <w:color w:val="6E6158"/>
          <w:spacing w:val="11"/>
        </w:rPr>
        <w:t> </w:t>
      </w:r>
      <w:r>
        <w:rPr>
          <w:color w:val="6E6158"/>
        </w:rPr>
        <w:t>January</w:t>
      </w:r>
      <w:r>
        <w:rPr>
          <w:color w:val="6E6158"/>
          <w:spacing w:val="11"/>
        </w:rPr>
        <w:t> </w:t>
      </w:r>
      <w:r>
        <w:rPr>
          <w:color w:val="6E6158"/>
        </w:rPr>
        <w:t>19,</w:t>
      </w:r>
      <w:r>
        <w:rPr>
          <w:color w:val="6E6158"/>
          <w:spacing w:val="11"/>
        </w:rPr>
        <w:t> </w:t>
      </w:r>
      <w:r>
        <w:rPr>
          <w:color w:val="6E6158"/>
          <w:spacing w:val="-4"/>
        </w:rPr>
        <w:t>2024</w:t>
      </w:r>
    </w:p>
    <w:p>
      <w:pPr>
        <w:pStyle w:val="BodyText"/>
        <w:spacing w:line="302" w:lineRule="auto" w:before="174"/>
        <w:ind w:left="356" w:right="38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1063521</wp:posOffset>
                </wp:positionH>
                <wp:positionV relativeFrom="paragraph">
                  <wp:posOffset>268155</wp:posOffset>
                </wp:positionV>
                <wp:extent cx="20955" cy="20955"/>
                <wp:effectExtent l="0" t="0" r="0" b="0"/>
                <wp:wrapNone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21.114634pt;width:1.65pt;height:1.65pt;mso-position-horizontal-relative:page;mso-position-vertical-relative:paragraph;z-index:15735296" id="docshape23" coordorigin="1675,422" coordsize="33,33" path="m1696,455l1687,455,1683,453,1676,447,1675,443,1675,434,1676,430,1683,424,1687,422,1696,422,1699,424,1706,430,1707,434,1707,439,1707,443,1706,447,1699,453,1696,45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Co-Author, “Musings on Implications of the Repeal of the Technical Termination Provisions Under IRC 708 for 1031 Exchanges,” Firm Newsletter, June 17, 2019</w:t>
      </w:r>
    </w:p>
    <w:p>
      <w:pPr>
        <w:pStyle w:val="BodyText"/>
        <w:spacing w:line="420" w:lineRule="auto" w:before="113"/>
        <w:ind w:left="35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1063521</wp:posOffset>
                </wp:positionH>
                <wp:positionV relativeFrom="paragraph">
                  <wp:posOffset>131102</wp:posOffset>
                </wp:positionV>
                <wp:extent cx="20955" cy="20955"/>
                <wp:effectExtent l="0" t="0" r="0" b="0"/>
                <wp:wrapNone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0.323039pt;width:1.65pt;height:1.65pt;mso-position-horizontal-relative:page;mso-position-vertical-relative:paragraph;z-index:15735808" id="docshape24" coordorigin="1675,206" coordsize="33,33" path="m1696,239l1687,239,1683,237,1676,231,1675,227,1675,218,1676,214,1683,208,1687,206,1696,206,1699,208,1706,214,1707,218,1707,223,1707,227,1706,231,1699,237,1696,23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1063521</wp:posOffset>
                </wp:positionH>
                <wp:positionV relativeFrom="paragraph">
                  <wp:posOffset>394635</wp:posOffset>
                </wp:positionV>
                <wp:extent cx="20955" cy="20955"/>
                <wp:effectExtent l="0" t="0" r="0" b="0"/>
                <wp:wrapNone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31.073664pt;width:1.65pt;height:1.65pt;mso-position-horizontal-relative:page;mso-position-vertical-relative:paragraph;z-index:15736320" id="docshape25" coordorigin="1675,621" coordsize="33,33" path="m1696,654l1687,654,1683,652,1676,646,1675,642,1675,633,1676,629,1683,623,1687,621,1696,621,1699,623,1706,629,1707,633,1707,638,1707,642,1706,646,1699,652,1696,65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 “Partnership Allocation Rules – Impact of Recent Regulations,” November 15, </w:t>
      </w:r>
      <w:r>
        <w:rPr>
          <w:color w:val="6E6158"/>
        </w:rPr>
        <w:t>2017 Presenter, Honey, I Forgot About the Income Tax!” Firm Presentation, February 25, 2016</w:t>
      </w:r>
    </w:p>
    <w:p>
      <w:pPr>
        <w:pStyle w:val="Heading1"/>
        <w:spacing w:before="159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ACTIVITIES</w:t>
      </w:r>
    </w:p>
    <w:p>
      <w:pPr>
        <w:pStyle w:val="BodyText"/>
        <w:spacing w:line="427" w:lineRule="auto" w:before="147"/>
        <w:ind w:left="356" w:right="275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1063521</wp:posOffset>
                </wp:positionH>
                <wp:positionV relativeFrom="paragraph">
                  <wp:posOffset>158068</wp:posOffset>
                </wp:positionV>
                <wp:extent cx="20955" cy="20955"/>
                <wp:effectExtent l="0" t="0" r="0" b="0"/>
                <wp:wrapNone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2.446303pt;width:1.65pt;height:1.65pt;mso-position-horizontal-relative:page;mso-position-vertical-relative:paragraph;z-index:15736832" id="docshape26" coordorigin="1675,249" coordsize="33,33" path="m1696,281l1687,281,1683,280,1676,274,1675,270,1675,261,1676,257,1683,251,1687,249,1696,249,1699,251,1706,257,1707,261,1707,265,1707,270,1706,274,1699,280,1696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1063521</wp:posOffset>
                </wp:positionH>
                <wp:positionV relativeFrom="paragraph">
                  <wp:posOffset>416433</wp:posOffset>
                </wp:positionV>
                <wp:extent cx="20955" cy="20955"/>
                <wp:effectExtent l="0" t="0" r="0" b="0"/>
                <wp:wrapNone/>
                <wp:docPr id="27" name="Graphic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Graphic 2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32.790054pt;width:1.65pt;height:1.65pt;mso-position-horizontal-relative:page;mso-position-vertical-relative:paragraph;z-index:15737344" id="docshape27" coordorigin="1675,656" coordsize="33,33" path="m1696,688l1687,688,1683,687,1676,680,1675,677,1675,668,1676,664,1683,657,1687,656,1696,656,1699,657,1706,664,1707,668,1707,672,1707,677,1706,680,1699,687,1696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Member, California Society of Certified Public Accountants Member,</w:t>
      </w:r>
      <w:r>
        <w:rPr>
          <w:color w:val="6E6158"/>
          <w:spacing w:val="10"/>
        </w:rPr>
        <w:t> </w:t>
      </w:r>
      <w:r>
        <w:rPr>
          <w:color w:val="6E6158"/>
        </w:rPr>
        <w:t>American</w:t>
      </w:r>
      <w:r>
        <w:rPr>
          <w:color w:val="6E6158"/>
          <w:spacing w:val="11"/>
        </w:rPr>
        <w:t> </w:t>
      </w:r>
      <w:r>
        <w:rPr>
          <w:color w:val="6E6158"/>
        </w:rPr>
        <w:t>Institute</w:t>
      </w:r>
      <w:r>
        <w:rPr>
          <w:color w:val="6E6158"/>
          <w:spacing w:val="11"/>
        </w:rPr>
        <w:t> </w:t>
      </w:r>
      <w:r>
        <w:rPr>
          <w:color w:val="6E6158"/>
        </w:rPr>
        <w:t>of</w:t>
      </w:r>
      <w:r>
        <w:rPr>
          <w:color w:val="6E6158"/>
          <w:spacing w:val="11"/>
        </w:rPr>
        <w:t> </w:t>
      </w:r>
      <w:r>
        <w:rPr>
          <w:color w:val="6E6158"/>
        </w:rPr>
        <w:t>Certified</w:t>
      </w:r>
      <w:r>
        <w:rPr>
          <w:color w:val="6E6158"/>
          <w:spacing w:val="10"/>
        </w:rPr>
        <w:t> </w:t>
      </w:r>
      <w:r>
        <w:rPr>
          <w:color w:val="6E6158"/>
        </w:rPr>
        <w:t>Public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Accountants</w:t>
      </w:r>
    </w:p>
    <w:p>
      <w:pPr>
        <w:pStyle w:val="BodyText"/>
        <w:spacing w:line="420" w:lineRule="auto"/>
        <w:ind w:left="356" w:right="155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1063521</wp:posOffset>
                </wp:positionH>
                <wp:positionV relativeFrom="paragraph">
                  <wp:posOffset>60005</wp:posOffset>
                </wp:positionV>
                <wp:extent cx="20955" cy="20955"/>
                <wp:effectExtent l="0" t="0" r="0" b="0"/>
                <wp:wrapNone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4.724846pt;width:1.65pt;height:1.65pt;mso-position-horizontal-relative:page;mso-position-vertical-relative:paragraph;z-index:15737856" id="docshape28" coordorigin="1675,94" coordsize="33,33" path="m1696,127l1687,127,1683,125,1676,119,1675,115,1675,106,1676,102,1683,96,1687,94,1696,94,1699,96,1706,102,1707,106,1707,111,1707,115,1706,119,1699,125,1696,12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368">
                <wp:simplePos x="0" y="0"/>
                <wp:positionH relativeFrom="page">
                  <wp:posOffset>1063521</wp:posOffset>
                </wp:positionH>
                <wp:positionV relativeFrom="paragraph">
                  <wp:posOffset>318371</wp:posOffset>
                </wp:positionV>
                <wp:extent cx="20955" cy="20955"/>
                <wp:effectExtent l="0" t="0" r="0" b="0"/>
                <wp:wrapNone/>
                <wp:docPr id="29" name="Graphic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Graphic 2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25.068596pt;width:1.65pt;height:1.65pt;mso-position-horizontal-relative:page;mso-position-vertical-relative:paragraph;z-index:15738368" id="docshape29" coordorigin="1675,501" coordsize="33,33" path="m1696,534l1687,534,1683,532,1676,526,1675,522,1675,513,1676,509,1683,503,1687,501,1696,501,1699,503,1706,509,1707,513,1707,518,1707,522,1706,526,1699,532,1696,53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Member, Tax and Business Sections, Sacramento County Bar </w:t>
      </w:r>
      <w:r>
        <w:rPr>
          <w:color w:val="6E6158"/>
        </w:rPr>
        <w:t>Association Member, Tax Section, State Bar of California</w:t>
      </w:r>
    </w:p>
    <w:p>
      <w:pPr>
        <w:pStyle w:val="BodyText"/>
        <w:ind w:left="35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880">
                <wp:simplePos x="0" y="0"/>
                <wp:positionH relativeFrom="page">
                  <wp:posOffset>1063521</wp:posOffset>
                </wp:positionH>
                <wp:positionV relativeFrom="paragraph">
                  <wp:posOffset>58996</wp:posOffset>
                </wp:positionV>
                <wp:extent cx="20955" cy="20955"/>
                <wp:effectExtent l="0" t="0" r="0" b="0"/>
                <wp:wrapNone/>
                <wp:docPr id="30" name="Graphic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Graphic 3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4.645377pt;width:1.65pt;height:1.65pt;mso-position-horizontal-relative:page;mso-position-vertical-relative:paragraph;z-index:15738880" id="docshape30" coordorigin="1675,93" coordsize="33,33" path="m1696,125l1687,125,1683,124,1676,118,1675,114,1675,105,1676,101,1683,94,1687,93,1696,93,1699,94,1706,101,1707,105,1707,109,1707,114,1706,118,1699,124,1696,12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Member,</w:t>
      </w:r>
      <w:r>
        <w:rPr>
          <w:color w:val="6E6158"/>
          <w:spacing w:val="10"/>
        </w:rPr>
        <w:t> </w:t>
      </w:r>
      <w:r>
        <w:rPr>
          <w:color w:val="6E6158"/>
        </w:rPr>
        <w:t>Adjunct</w:t>
      </w:r>
      <w:r>
        <w:rPr>
          <w:color w:val="6E6158"/>
          <w:spacing w:val="11"/>
        </w:rPr>
        <w:t> </w:t>
      </w:r>
      <w:r>
        <w:rPr>
          <w:color w:val="6E6158"/>
        </w:rPr>
        <w:t>Instructor,</w:t>
      </w:r>
      <w:r>
        <w:rPr>
          <w:color w:val="6E6158"/>
          <w:spacing w:val="11"/>
        </w:rPr>
        <w:t> </w:t>
      </w:r>
      <w:r>
        <w:rPr>
          <w:color w:val="6E6158"/>
        </w:rPr>
        <w:t>Golden</w:t>
      </w:r>
      <w:r>
        <w:rPr>
          <w:color w:val="6E6158"/>
          <w:spacing w:val="10"/>
        </w:rPr>
        <w:t> </w:t>
      </w:r>
      <w:r>
        <w:rPr>
          <w:color w:val="6E6158"/>
        </w:rPr>
        <w:t>Gate</w:t>
      </w:r>
      <w:r>
        <w:rPr>
          <w:color w:val="6E6158"/>
          <w:spacing w:val="11"/>
        </w:rPr>
        <w:t> </w:t>
      </w:r>
      <w:r>
        <w:rPr>
          <w:color w:val="6E6158"/>
        </w:rPr>
        <w:t>University,</w:t>
      </w:r>
      <w:r>
        <w:rPr>
          <w:color w:val="6E6158"/>
          <w:spacing w:val="11"/>
        </w:rPr>
        <w:t> </w:t>
      </w:r>
      <w:r>
        <w:rPr>
          <w:color w:val="6E6158"/>
        </w:rPr>
        <w:t>2003-</w:t>
      </w:r>
      <w:r>
        <w:rPr>
          <w:color w:val="6E6158"/>
          <w:spacing w:val="-4"/>
        </w:rPr>
        <w:t>2005</w:t>
      </w:r>
    </w:p>
    <w:p>
      <w:pPr>
        <w:pStyle w:val="BodyText"/>
        <w:spacing w:before="40"/>
        <w:rPr>
          <w:sz w:val="24"/>
        </w:rPr>
      </w:pPr>
    </w:p>
    <w:p>
      <w:pPr>
        <w:pStyle w:val="Heading1"/>
      </w:pPr>
      <w:r>
        <w:rPr>
          <w:color w:val="FF8100"/>
          <w:spacing w:val="-2"/>
        </w:rPr>
        <w:t>ADMISSIONS</w:t>
      </w:r>
    </w:p>
    <w:p>
      <w:pPr>
        <w:pStyle w:val="BodyText"/>
        <w:spacing w:before="147"/>
        <w:ind w:left="35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392">
                <wp:simplePos x="0" y="0"/>
                <wp:positionH relativeFrom="page">
                  <wp:posOffset>1063521</wp:posOffset>
                </wp:positionH>
                <wp:positionV relativeFrom="paragraph">
                  <wp:posOffset>157877</wp:posOffset>
                </wp:positionV>
                <wp:extent cx="20955" cy="20955"/>
                <wp:effectExtent l="0" t="0" r="0" b="0"/>
                <wp:wrapNone/>
                <wp:docPr id="31" name="Graphic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Graphic 3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2.431265pt;width:1.65pt;height:1.65pt;mso-position-horizontal-relative:page;mso-position-vertical-relative:paragraph;z-index:15739392" id="docshape31" coordorigin="1675,249" coordsize="33,33" path="m1696,281l1687,281,1683,280,1676,273,1675,269,1675,260,1676,257,1683,250,1687,249,1696,249,1699,250,1706,257,1707,260,1707,265,1707,269,1706,273,1699,280,1696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pacing w:val="-2"/>
        </w:rPr>
        <w:t>California</w:t>
      </w:r>
    </w:p>
    <w:p>
      <w:pPr>
        <w:pStyle w:val="BodyText"/>
        <w:spacing w:before="174"/>
        <w:ind w:left="35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904">
                <wp:simplePos x="0" y="0"/>
                <wp:positionH relativeFrom="page">
                  <wp:posOffset>1063521</wp:posOffset>
                </wp:positionH>
                <wp:positionV relativeFrom="paragraph">
                  <wp:posOffset>174971</wp:posOffset>
                </wp:positionV>
                <wp:extent cx="20955" cy="20955"/>
                <wp:effectExtent l="0" t="0" r="0" b="0"/>
                <wp:wrapNone/>
                <wp:docPr id="32" name="Graphic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Graphic 3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3.777308pt;width:1.65pt;height:1.65pt;mso-position-horizontal-relative:page;mso-position-vertical-relative:paragraph;z-index:15739904" id="docshape32" coordorigin="1675,276" coordsize="33,33" path="m1696,308l1687,308,1683,307,1676,300,1675,296,1675,287,1676,283,1683,277,1687,276,1696,276,1699,277,1706,283,1707,287,1707,292,1707,296,1706,300,1699,307,1696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U.S.</w:t>
      </w:r>
      <w:r>
        <w:rPr>
          <w:color w:val="6E6158"/>
          <w:spacing w:val="1"/>
        </w:rPr>
        <w:t> </w:t>
      </w:r>
      <w:r>
        <w:rPr>
          <w:color w:val="6E6158"/>
        </w:rPr>
        <w:t>Tax</w:t>
      </w:r>
      <w:r>
        <w:rPr>
          <w:color w:val="6E6158"/>
          <w:spacing w:val="2"/>
        </w:rPr>
        <w:t> </w:t>
      </w:r>
      <w:r>
        <w:rPr>
          <w:color w:val="6E6158"/>
          <w:spacing w:val="-2"/>
        </w:rPr>
        <w:t>Court</w:t>
      </w:r>
    </w:p>
    <w:p>
      <w:pPr>
        <w:pStyle w:val="BodyText"/>
        <w:spacing w:before="174"/>
        <w:ind w:left="35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416">
                <wp:simplePos x="0" y="0"/>
                <wp:positionH relativeFrom="page">
                  <wp:posOffset>1063521</wp:posOffset>
                </wp:positionH>
                <wp:positionV relativeFrom="paragraph">
                  <wp:posOffset>174921</wp:posOffset>
                </wp:positionV>
                <wp:extent cx="20955" cy="20955"/>
                <wp:effectExtent l="0" t="0" r="0" b="0"/>
                <wp:wrapNone/>
                <wp:docPr id="33" name="Graphic 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" name="Graphic 3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3.773355pt;width:1.65pt;height:1.65pt;mso-position-horizontal-relative:page;mso-position-vertical-relative:paragraph;z-index:15740416" id="docshape33" coordorigin="1675,275" coordsize="33,33" path="m1696,308l1687,308,1683,306,1676,300,1675,296,1675,287,1676,283,1683,277,1687,275,1696,275,1699,277,1706,283,1707,287,1707,292,1707,296,1706,300,1699,306,1696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Certified</w:t>
      </w:r>
      <w:r>
        <w:rPr>
          <w:color w:val="6E6158"/>
          <w:spacing w:val="14"/>
        </w:rPr>
        <w:t> </w:t>
      </w:r>
      <w:r>
        <w:rPr>
          <w:color w:val="6E6158"/>
        </w:rPr>
        <w:t>Public</w:t>
      </w:r>
      <w:r>
        <w:rPr>
          <w:color w:val="6E6158"/>
          <w:spacing w:val="14"/>
        </w:rPr>
        <w:t> </w:t>
      </w:r>
      <w:r>
        <w:rPr>
          <w:color w:val="6E6158"/>
          <w:spacing w:val="-2"/>
        </w:rPr>
        <w:t>Accountant</w:t>
      </w:r>
    </w:p>
    <w:sectPr>
      <w:pgSz w:w="12240" w:h="15840"/>
      <w:pgMar w:top="50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04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business-and-finance/" TargetMode="External"/><Relationship Id="rId9" Type="http://schemas.openxmlformats.org/officeDocument/2006/relationships/hyperlink" Target="https://www.fennemorelaw.com/contact-us/sacramento/" TargetMode="External"/><Relationship Id="rId10" Type="http://schemas.openxmlformats.org/officeDocument/2006/relationships/hyperlink" Target="mailto:myang@fennemorelaw.com" TargetMode="External"/><Relationship Id="rId11" Type="http://schemas.openxmlformats.org/officeDocument/2006/relationships/hyperlink" Target="https://www.bizjournals.com/sacramento/news/2024/08/09/buying-selling-boomer-owned-businesses.html" TargetMode="External"/><Relationship Id="rId12" Type="http://schemas.openxmlformats.org/officeDocument/2006/relationships/hyperlink" Target="https://www.bizjournals.com/sacramento/news/2024/08/08/ftc-noncompete-rule-california-businesses.html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2025-07-22T23:35:38Z</dcterms:created>
  <dcterms:modified xsi:type="dcterms:W3CDTF">2025-07-22T23:35:38Z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2025-07-22T00:00:00Z</vt:filetime>
  </property>
  <property fmtid="{D5CDD505-2E9C-101B-9397-08002B2CF9AE}" pid="3" name="Creator">
    <vt:lpwstr>Chromium</vt:lpwstr>
  </property>
  <property fmtid="{D5CDD505-2E9C-101B-9397-08002B2CF9AE}" pid="4" name="LastSaved">
    <vt:filetime>2025-07-22T00:00:00Z</vt:filetime>
  </property>
  <property fmtid="{D5CDD505-2E9C-101B-9397-08002B2CF9AE}" pid="5" name="Producer">
    <vt:lpwstr>Skia/PDF m117</vt:lpwstr>
  </property>
</Properties>
</file>