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1528" y="763308"/>
                            <a:ext cx="1369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ALLISON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HESTER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1631" y="2500373"/>
                            <a:ext cx="14693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ahester@fennemorelaw.com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38;top:1762;width:215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ALLISON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HESTER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303.813.3829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59;top:4497;width:231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ahester@fennemorelaw.com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ALLISON</w:t>
      </w:r>
      <w:r>
        <w:rPr>
          <w:color w:val="FF8100"/>
          <w:spacing w:val="7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HESTER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Allison is a member of the firm’s Business Litigation and Intellectual Property groups, focusing her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appellate</w:t>
      </w:r>
      <w:r>
        <w:rPr>
          <w:color w:val="6E6158"/>
          <w:spacing w:val="29"/>
        </w:rPr>
        <w:t> </w:t>
      </w:r>
      <w:r>
        <w:rPr>
          <w:color w:val="6E6158"/>
        </w:rPr>
        <w:t>advocacy,</w:t>
      </w:r>
      <w:r>
        <w:rPr>
          <w:color w:val="6E6158"/>
          <w:spacing w:val="29"/>
        </w:rPr>
        <w:t> </w:t>
      </w:r>
      <w:r>
        <w:rPr>
          <w:color w:val="6E6158"/>
        </w:rPr>
        <w:t>intellectual</w:t>
      </w:r>
      <w:r>
        <w:rPr>
          <w:color w:val="6E6158"/>
          <w:spacing w:val="29"/>
        </w:rPr>
        <w:t> </w:t>
      </w:r>
      <w:r>
        <w:rPr>
          <w:color w:val="6E6158"/>
        </w:rPr>
        <w:t>property</w:t>
      </w:r>
      <w:r>
        <w:rPr>
          <w:color w:val="6E6158"/>
          <w:spacing w:val="29"/>
        </w:rPr>
        <w:t> </w:t>
      </w:r>
      <w:r>
        <w:rPr>
          <w:color w:val="6E6158"/>
        </w:rPr>
        <w:t>law,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civil</w:t>
      </w:r>
      <w:r>
        <w:rPr>
          <w:color w:val="6E6158"/>
          <w:spacing w:val="29"/>
        </w:rPr>
        <w:t> </w:t>
      </w:r>
      <w:r>
        <w:rPr>
          <w:color w:val="6E6158"/>
        </w:rPr>
        <w:t>litigation.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the Vice Office Managing Partner of Fennemore’s Denver office.</w:t>
      </w:r>
    </w:p>
    <w:p>
      <w:pPr>
        <w:pStyle w:val="BodyText"/>
        <w:spacing w:line="295" w:lineRule="auto" w:before="192"/>
        <w:ind w:left="104" w:right="335"/>
      </w:pPr>
      <w:r>
        <w:rPr>
          <w:color w:val="6E6158"/>
        </w:rPr>
        <w:t>Allison has drafted appeals and briefs for clients in multiple appellate courts in the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system, including the Colorado Court of Appeals, the Colorado Supreme Court,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 Court of Appeals for the Tenth Circuit, as well as submitting an amicus brief to the</w:t>
      </w:r>
      <w:r>
        <w:rPr>
          <w:color w:val="6E6158"/>
          <w:spacing w:val="40"/>
        </w:rPr>
        <w:t> </w:t>
      </w:r>
      <w:r>
        <w:rPr>
          <w:color w:val="6E6158"/>
        </w:rPr>
        <w:t>United State Supreme Court. In her appellate practice, Allison draws on her work experiences</w:t>
      </w:r>
      <w:r>
        <w:rPr>
          <w:color w:val="6E6158"/>
          <w:spacing w:val="40"/>
        </w:rPr>
        <w:t> </w:t>
      </w:r>
      <w:r>
        <w:rPr>
          <w:color w:val="6E6158"/>
        </w:rPr>
        <w:t>within</w:t>
      </w:r>
      <w:r>
        <w:rPr>
          <w:color w:val="6E6158"/>
          <w:spacing w:val="27"/>
        </w:rPr>
        <w:t> </w:t>
      </w:r>
      <w:r>
        <w:rPr>
          <w:color w:val="6E6158"/>
        </w:rPr>
        <w:t>appellate</w:t>
      </w:r>
      <w:r>
        <w:rPr>
          <w:color w:val="6E6158"/>
          <w:spacing w:val="27"/>
        </w:rPr>
        <w:t> </w:t>
      </w:r>
      <w:r>
        <w:rPr>
          <w:color w:val="6E6158"/>
        </w:rPr>
        <w:t>courts.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spent</w:t>
      </w:r>
      <w:r>
        <w:rPr>
          <w:color w:val="6E6158"/>
          <w:spacing w:val="27"/>
        </w:rPr>
        <w:t> </w:t>
      </w:r>
      <w:r>
        <w:rPr>
          <w:color w:val="6E6158"/>
        </w:rPr>
        <w:t>two</w:t>
      </w:r>
      <w:r>
        <w:rPr>
          <w:color w:val="6E6158"/>
          <w:spacing w:val="27"/>
        </w:rPr>
        <w:t> </w:t>
      </w:r>
      <w:r>
        <w:rPr>
          <w:color w:val="6E6158"/>
        </w:rPr>
        <w:t>years</w:t>
      </w:r>
      <w:r>
        <w:rPr>
          <w:color w:val="6E6158"/>
          <w:spacing w:val="27"/>
        </w:rPr>
        <w:t> </w:t>
      </w:r>
      <w:r>
        <w:rPr>
          <w:color w:val="6E6158"/>
        </w:rPr>
        <w:t>clerking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Chief</w:t>
      </w:r>
      <w:r>
        <w:rPr>
          <w:color w:val="6E6158"/>
          <w:spacing w:val="27"/>
        </w:rPr>
        <w:t> </w:t>
      </w:r>
      <w:r>
        <w:rPr>
          <w:color w:val="6E6158"/>
        </w:rPr>
        <w:t>Judge</w:t>
      </w:r>
      <w:r>
        <w:rPr>
          <w:color w:val="6E6158"/>
          <w:spacing w:val="27"/>
        </w:rPr>
        <w:t> </w:t>
      </w:r>
      <w:r>
        <w:rPr>
          <w:color w:val="6E6158"/>
        </w:rPr>
        <w:t>Steven</w:t>
      </w:r>
      <w:r>
        <w:rPr>
          <w:color w:val="6E6158"/>
          <w:spacing w:val="27"/>
        </w:rPr>
        <w:t> </w:t>
      </w:r>
      <w:r>
        <w:rPr>
          <w:color w:val="6E6158"/>
        </w:rPr>
        <w:t>Bernard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working</w:t>
      </w:r>
      <w:r>
        <w:rPr>
          <w:color w:val="6E6158"/>
          <w:spacing w:val="12"/>
        </w:rPr>
        <w:t> </w:t>
      </w:r>
      <w:r>
        <w:rPr>
          <w:color w:val="6E6158"/>
        </w:rPr>
        <w:t>directly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Judge</w:t>
      </w:r>
      <w:r>
        <w:rPr>
          <w:color w:val="6E6158"/>
          <w:spacing w:val="11"/>
        </w:rPr>
        <w:t> </w:t>
      </w:r>
      <w:r>
        <w:rPr>
          <w:color w:val="6E6158"/>
        </w:rPr>
        <w:t>Bernard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drafting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appellate</w:t>
      </w:r>
    </w:p>
    <w:p>
      <w:pPr>
        <w:pStyle w:val="BodyText"/>
        <w:spacing w:line="292" w:lineRule="auto" w:before="60"/>
        <w:ind w:left="104" w:right="279"/>
      </w:pPr>
      <w:r>
        <w:rPr>
          <w:color w:val="6E6158"/>
        </w:rPr>
        <w:t>opinions. In addition, Allison interned at the Colorado Supreme Court for then-Justice Allison </w:t>
      </w:r>
      <w:r>
        <w:rPr>
          <w:color w:val="6E6158"/>
        </w:rPr>
        <w:t>Eid</w:t>
      </w:r>
      <w:r>
        <w:rPr>
          <w:color w:val="6E6158"/>
          <w:spacing w:val="40"/>
        </w:rPr>
        <w:t> </w:t>
      </w:r>
      <w:r>
        <w:rPr>
          <w:color w:val="6E6158"/>
        </w:rPr>
        <w:t>(now Judge Eid of the United States Court of Appeals for the Tenth Circuit).</w:t>
      </w:r>
    </w:p>
    <w:p>
      <w:pPr>
        <w:pStyle w:val="BodyText"/>
        <w:spacing w:line="297" w:lineRule="auto" w:before="196"/>
        <w:ind w:left="104" w:right="335"/>
      </w:pPr>
      <w:r>
        <w:rPr>
          <w:color w:val="6E6158"/>
        </w:rPr>
        <w:t>Allison’s intellectual property practice focuses on trademark administration and litigation,</w:t>
      </w:r>
      <w:r>
        <w:rPr>
          <w:color w:val="6E6158"/>
          <w:spacing w:val="40"/>
        </w:rPr>
        <w:t> </w:t>
      </w:r>
      <w:r>
        <w:rPr>
          <w:color w:val="6E6158"/>
        </w:rPr>
        <w:t>protecting and prosecuting the intellectual property rights of clients before the United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Patent and Trademark Office and well as in civil litigation in the court system.</w:t>
      </w:r>
    </w:p>
    <w:p>
      <w:pPr>
        <w:pStyle w:val="BodyText"/>
        <w:spacing w:line="295" w:lineRule="auto" w:before="191"/>
        <w:ind w:left="104" w:right="335"/>
      </w:pPr>
      <w:r>
        <w:rPr>
          <w:color w:val="6E6158"/>
        </w:rPr>
        <w:t>Allison also represents clients in civil litigation, focusing on complex motions within civil cases in</w:t>
      </w:r>
      <w:r>
        <w:rPr>
          <w:color w:val="6E6158"/>
          <w:spacing w:val="40"/>
        </w:rPr>
        <w:t> </w:t>
      </w:r>
      <w:r>
        <w:rPr>
          <w:color w:val="6E6158"/>
        </w:rPr>
        <w:t>trial courts and arbitrations. Allison supplements her experience representing clients with</w:t>
      </w:r>
      <w:r>
        <w:rPr>
          <w:color w:val="6E6158"/>
          <w:spacing w:val="40"/>
        </w:rPr>
        <w:t> </w:t>
      </w:r>
      <w:r>
        <w:rPr>
          <w:color w:val="6E6158"/>
        </w:rPr>
        <w:t>knowledge of the workings of trial courts in Colorado through her prior externship with Judge</w:t>
      </w:r>
      <w:r>
        <w:rPr>
          <w:color w:val="6E6158"/>
          <w:spacing w:val="40"/>
        </w:rPr>
        <w:t> </w:t>
      </w:r>
      <w:r>
        <w:rPr>
          <w:color w:val="6E6158"/>
        </w:rPr>
        <w:t>David Goldberg of the District Court for the City and County of Denver.</w:t>
      </w:r>
    </w:p>
    <w:p>
      <w:pPr>
        <w:pStyle w:val="BodyText"/>
        <w:spacing w:line="292" w:lineRule="auto" w:before="197"/>
        <w:ind w:left="104" w:right="335"/>
      </w:pPr>
      <w:r>
        <w:rPr>
          <w:color w:val="6E6158"/>
        </w:rPr>
        <w:t>Allison is a native of Boulder, Colorado. In her spare time, Allison enjoys reading novels, hiking 14ers, and alpine skiing.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264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0"/>
        </w:rPr>
        <w:t> </w:t>
      </w:r>
      <w:r>
        <w:rPr>
          <w:color w:val="6E6158"/>
        </w:rPr>
        <w:t>Order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Coif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199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Colgate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Honors-History,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157774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161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7" w:lineRule="auto" w:before="140"/>
        <w:ind w:left="356"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261445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6294pt;width:1.65pt;height:1.65pt;mso-position-horizontal-relative:page;mso-position-vertical-relative:paragraph;z-index:15731712" id="docshape15" coordorigin="1675,412" coordsize="33,33" path="m1696,444l1687,444,1683,443,1676,436,1675,432,1675,424,1676,420,1683,413,1687,412,1696,412,1699,413,1706,420,1707,424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Ones to Watch, Appellate Practice, 2023-2026, </w:t>
      </w:r>
      <w:r>
        <w:rPr>
          <w:color w:val="6E6158"/>
        </w:rPr>
        <w:t>Commercial Litigation, 2022-2026, Litigation – Intellectual Property, 2026</w:t>
      </w:r>
    </w:p>
    <w:p>
      <w:pPr>
        <w:pStyle w:val="BodyText"/>
        <w:spacing w:before="11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138846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32789pt;width:1.65pt;height:1.65pt;mso-position-horizontal-relative:page;mso-position-vertical-relative:paragraph;z-index:15732224" id="docshape16" coordorigin="1675,219" coordsize="33,33" path="m1696,251l1687,251,1683,250,1676,243,1675,239,1675,230,1676,227,1683,220,1687,219,1696,219,1699,220,1706,227,1707,230,1707,235,1707,239,1706,243,1699,250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Lawyers®</w:t>
      </w:r>
      <w:r>
        <w:rPr>
          <w:color w:val="6E6158"/>
          <w:spacing w:val="13"/>
        </w:rPr>
        <w:t> </w:t>
      </w:r>
      <w:r>
        <w:rPr>
          <w:color w:val="6E6158"/>
        </w:rPr>
        <w:t>Rising</w:t>
      </w:r>
      <w:r>
        <w:rPr>
          <w:color w:val="6E6158"/>
          <w:spacing w:val="13"/>
        </w:rPr>
        <w:t> </w:t>
      </w:r>
      <w:r>
        <w:rPr>
          <w:color w:val="6E6158"/>
        </w:rPr>
        <w:t>Star,</w:t>
      </w:r>
      <w:r>
        <w:rPr>
          <w:color w:val="6E6158"/>
          <w:spacing w:val="13"/>
        </w:rPr>
        <w:t> </w: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Litigation,</w:t>
      </w:r>
      <w:r>
        <w:rPr>
          <w:color w:val="6E6158"/>
          <w:spacing w:val="14"/>
        </w:rPr>
        <w:t> </w:t>
      </w:r>
      <w:r>
        <w:rPr>
          <w:color w:val="6E6158"/>
        </w:rPr>
        <w:t>2024-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250641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555pt;width:1.65pt;height:1.65pt;mso-position-horizontal-relative:page;mso-position-vertical-relative:paragraph;z-index:15732736" id="docshape17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Single Slice of Legal History: What the “Cheese” Copyright Means for AI and IP Law,” Fennemore Blog, May 14, 2025</w:t>
      </w:r>
    </w:p>
    <w:p>
      <w:pPr>
        <w:pStyle w:val="BodyText"/>
        <w:spacing w:line="398" w:lineRule="auto" w:before="103"/>
        <w:ind w:left="356" w:right="15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131368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957pt;width:1.65pt;height:1.65pt;mso-position-horizontal-relative:page;mso-position-vertical-relative:paragraph;z-index:15733248" id="docshape18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394901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4582pt;width:1.65pt;height:1.65pt;mso-position-horizontal-relative:page;mso-position-vertical-relative:paragraph;z-index:15733760" id="docshape19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“You Ken Be Anything, Except Barbie,” Managing IP</w:t>
      </w:r>
      <w:r>
        <w:rPr>
          <w:i/>
          <w:color w:val="6E6158"/>
          <w:sz w:val="20"/>
        </w:rPr>
        <w:t>, </w:t>
      </w:r>
      <w:r>
        <w:rPr>
          <w:color w:val="6E6158"/>
        </w:rPr>
        <w:t>October </w:t>
      </w:r>
      <w:r>
        <w:rPr>
          <w:color w:val="6E6158"/>
        </w:rPr>
        <w:t>2023 Author, “Queer Inclusivity in the Legal Field,” </w:t>
      </w:r>
      <w:r>
        <w:rPr>
          <w:i/>
          <w:color w:val="6E6158"/>
          <w:sz w:val="20"/>
        </w:rPr>
        <w:t>Firm Blog, </w:t>
      </w:r>
      <w:r>
        <w:rPr>
          <w:color w:val="6E6158"/>
        </w:rPr>
        <w:t>June 2022</w:t>
      </w:r>
    </w:p>
    <w:p>
      <w:pPr>
        <w:pStyle w:val="BodyText"/>
        <w:spacing w:before="1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1063521</wp:posOffset>
                </wp:positionH>
                <wp:positionV relativeFrom="paragraph">
                  <wp:posOffset>163911</wp:posOffset>
                </wp:positionV>
                <wp:extent cx="20955" cy="2095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06417pt;width:1.65pt;height:1.65pt;mso-position-horizontal-relative:page;mso-position-vertical-relative:paragraph;z-index:-15726592;mso-wrap-distance-left:0;mso-wrap-distance-right:0" id="docshape20" coordorigin="1675,258" coordsize="33,33" path="m1696,291l1687,291,1683,289,1676,283,1675,279,1675,270,1676,266,1683,260,1687,258,1696,258,1699,260,1706,266,1707,270,1707,274,1707,279,1706,283,1699,289,1696,291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“Silver</w:t>
      </w:r>
      <w:r>
        <w:rPr>
          <w:color w:val="6E6158"/>
          <w:spacing w:val="13"/>
        </w:rPr>
        <w:t> </w:t>
      </w:r>
      <w:r>
        <w:rPr>
          <w:color w:val="6E6158"/>
        </w:rPr>
        <w:t>Linings</w:t>
      </w:r>
      <w:r>
        <w:rPr>
          <w:color w:val="6E6158"/>
          <w:spacing w:val="13"/>
        </w:rPr>
        <w:t> </w:t>
      </w:r>
      <w:r>
        <w:rPr>
          <w:color w:val="6E6158"/>
        </w:rPr>
        <w:t>Provide</w:t>
      </w:r>
      <w:r>
        <w:rPr>
          <w:color w:val="6E6158"/>
          <w:spacing w:val="12"/>
        </w:rPr>
        <w:t> </w:t>
      </w:r>
      <w:r>
        <w:rPr>
          <w:color w:val="6E6158"/>
        </w:rPr>
        <w:t>Optimistic</w:t>
      </w:r>
      <w:r>
        <w:rPr>
          <w:color w:val="6E6158"/>
          <w:spacing w:val="13"/>
        </w:rPr>
        <w:t> </w:t>
      </w:r>
      <w:r>
        <w:rPr>
          <w:color w:val="6E6158"/>
        </w:rPr>
        <w:t>Future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Post-</w:t>
      </w:r>
      <w:r>
        <w:rPr>
          <w:color w:val="6E6158"/>
          <w:spacing w:val="-2"/>
        </w:rPr>
        <w:t>Pandemic,”</w:t>
      </w:r>
    </w:p>
    <w:p>
      <w:pPr>
        <w:spacing w:before="2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ColoradoBiz,</w:t>
      </w:r>
      <w:r>
        <w:rPr>
          <w:color w:val="6E6158"/>
          <w:spacing w:val="-2"/>
          <w:sz w:val="19"/>
        </w:rPr>
        <w:t>September</w:t>
      </w:r>
      <w:r>
        <w:rPr>
          <w:color w:val="6E6158"/>
          <w:spacing w:val="2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6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168559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238pt;width:1.65pt;height:1.65pt;mso-position-horizontal-relative:page;mso-position-vertical-relative:paragraph;z-index:15734272" id="docshape2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“Moye</w:t>
      </w:r>
      <w:r>
        <w:rPr>
          <w:color w:val="6E6158"/>
          <w:spacing w:val="8"/>
        </w:rPr>
        <w:t> </w:t>
      </w:r>
      <w:r>
        <w:rPr>
          <w:color w:val="6E6158"/>
        </w:rPr>
        <w:t>White</w:t>
      </w:r>
      <w:r>
        <w:rPr>
          <w:color w:val="6E6158"/>
          <w:spacing w:val="8"/>
        </w:rPr>
        <w:t> </w:t>
      </w:r>
      <w:r>
        <w:rPr>
          <w:color w:val="6E6158"/>
        </w:rPr>
        <w:t>Attorneys</w:t>
      </w:r>
      <w:r>
        <w:rPr>
          <w:color w:val="6E6158"/>
          <w:spacing w:val="8"/>
        </w:rPr>
        <w:t> </w:t>
      </w:r>
      <w:r>
        <w:rPr>
          <w:color w:val="6E6158"/>
        </w:rPr>
        <w:t>Assist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Supreme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Case,”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Firm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Blog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1"/>
        <w:ind w:left="356"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261355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9136pt;width:1.65pt;height:1.65pt;mso-position-horizontal-relative:page;mso-position-vertical-relative:paragraph;z-index:15734784" id="docshape22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Maxwell, Lewis v. Clarke, and the Trail Around Tribal Sovereign Immunity 88 COLO. L. REV. Vol. 3, 2017</w:t>
      </w:r>
    </w:p>
    <w:p>
      <w:pPr>
        <w:pStyle w:val="Heading1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152680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95pt;width:1.65pt;height:1.65pt;mso-position-horizontal-relative:page;mso-position-vertical-relative:paragraph;z-index:15735296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174"/>
        <w:ind w:left="356" w:right="5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174942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014pt;width:1.65pt;height:1.65pt;mso-position-horizontal-relative:page;mso-position-vertical-relative:paragraph;z-index:15735808" id="docshape24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433308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8771pt;width:1.65pt;height:1.65pt;mso-position-horizontal-relative:page;mso-position-vertical-relative:paragraph;z-index:15736320" id="docshape2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 – District of </w:t>
      </w:r>
      <w:r>
        <w:rPr>
          <w:color w:val="6E6158"/>
        </w:rPr>
        <w:t>Colorado</w:t>
      </w:r>
      <w:r>
        <w:rPr>
          <w:color w:val="6E6158"/>
        </w:rPr>
        <w:t> 10th Circuit Court of Appeals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hes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2025-08-25T21:26:28Z</dcterms:created>
  <dcterms:modified xsi:type="dcterms:W3CDTF">2025-08-25T21:26:28Z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