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9947" y="763308"/>
                            <a:ext cx="14528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ANTHONY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GIACOMINI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067" y="2500373"/>
                            <a:ext cx="1662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agiacomini@fennemorelaw.com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2;top:1762;width:228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ANTHONY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GIACOMINI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07;top:4497;width:261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agiacomini@fennemorelaw.com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ANTHONY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GIACOMINI</w:t>
      </w:r>
    </w:p>
    <w:p>
      <w:pPr>
        <w:pStyle w:val="BodyText"/>
        <w:spacing w:line="302" w:lineRule="auto" w:before="146"/>
        <w:ind w:left="104" w:right="382"/>
      </w:pPr>
      <w:r>
        <w:rPr>
          <w:color w:val="6E6158"/>
        </w:rPr>
        <w:t>Tony Giacomini is an Of Counsel attorney in our Denver office where his practice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catastrophic</w:t>
      </w:r>
      <w:r>
        <w:rPr>
          <w:color w:val="6E6158"/>
          <w:spacing w:val="40"/>
        </w:rPr>
        <w:t> </w:t>
      </w:r>
      <w:r>
        <w:rPr>
          <w:color w:val="6E6158"/>
        </w:rPr>
        <w:t>personal</w:t>
      </w:r>
      <w:r>
        <w:rPr>
          <w:color w:val="6E6158"/>
          <w:spacing w:val="39"/>
        </w:rPr>
        <w:t>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lawsuits.</w:t>
      </w:r>
    </w:p>
    <w:p>
      <w:pPr>
        <w:pStyle w:val="BodyText"/>
        <w:spacing w:line="292" w:lineRule="auto" w:before="186"/>
        <w:ind w:left="104" w:right="382"/>
      </w:pPr>
      <w:r>
        <w:rPr>
          <w:color w:val="6E6158"/>
        </w:rPr>
        <w:t>Tony often plays a leadership role in class actions and multi-plaintiff “mass tort” matters where</w:t>
      </w:r>
      <w:r>
        <w:rPr>
          <w:color w:val="6E6158"/>
          <w:spacing w:val="80"/>
        </w:rPr>
        <w:t> </w:t>
      </w:r>
      <w:r>
        <w:rPr>
          <w:color w:val="6E6158"/>
        </w:rPr>
        <w:t>the firm’s clients are located in various states around the country. As a result, Tony has become</w:t>
      </w:r>
      <w:r>
        <w:rPr>
          <w:color w:val="6E6158"/>
          <w:spacing w:val="40"/>
        </w:rPr>
        <w:t> </w:t>
      </w:r>
      <w:r>
        <w:rPr>
          <w:color w:val="6E6158"/>
        </w:rPr>
        <w:t>involved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bankruptcies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probate</w:t>
      </w:r>
      <w:r>
        <w:rPr>
          <w:color w:val="6E6158"/>
          <w:spacing w:val="28"/>
        </w:rPr>
        <w:t> </w:t>
      </w:r>
      <w:r>
        <w:rPr>
          <w:color w:val="6E6158"/>
        </w:rPr>
        <w:t>actions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nearly</w:t>
      </w:r>
      <w:r>
        <w:rPr>
          <w:color w:val="6E6158"/>
          <w:spacing w:val="28"/>
        </w:rPr>
        <w:t> </w:t>
      </w:r>
      <w:r>
        <w:rPr>
          <w:color w:val="6E6158"/>
        </w:rPr>
        <w:t>every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  <w:r>
        <w:rPr>
          <w:color w:val="6E6158"/>
          <w:spacing w:val="28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206"/>
        <w:ind w:left="104" w:right="308"/>
      </w:pPr>
      <w:r>
        <w:rPr>
          <w:color w:val="6E6158"/>
        </w:rPr>
        <w:t>He has lectured on the Class Action Fairness Act of 2005, which expanded federal jurisdiction</w:t>
      </w:r>
      <w:r>
        <w:rPr>
          <w:color w:val="6E6158"/>
          <w:spacing w:val="80"/>
        </w:rPr>
        <w:t> </w:t>
      </w:r>
      <w:r>
        <w:rPr>
          <w:color w:val="6E6158"/>
        </w:rPr>
        <w:t>over class action lawsuits and other multiparty claims.</w:t>
      </w:r>
      <w:r>
        <w:rPr>
          <w:color w:val="6E6158"/>
          <w:spacing w:val="79"/>
        </w:rPr>
        <w:t> </w:t>
      </w:r>
      <w:r>
        <w:rPr>
          <w:color w:val="6E6158"/>
        </w:rPr>
        <w:t>Tony has also presented to fellow lawyers his best practices for managing settlements of hundreds of individual claimants.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4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859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416060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651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Denver, Sturm College of </w:t>
      </w:r>
      <w:r>
        <w:rPr>
          <w:color w:val="6E6158"/>
        </w:rPr>
        <w:t>Law</w:t>
      </w:r>
      <w:r>
        <w:rPr>
          <w:color w:val="6E6158"/>
        </w:rPr>
        <w:t> B.A., University of Colorado at Boulder</w:t>
      </w:r>
    </w:p>
    <w:p>
      <w:pPr>
        <w:spacing w:before="159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47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59439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0252pt;width:1.65pt;height:1.65pt;mso-position-horizontal-relative:page;mso-position-vertical-relative:paragraph;z-index:15730176" id="docshape13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0866pt;width:1.65pt;height:1.65pt;mso-position-horizontal-relative:page;mso-position-vertical-relative:paragraph;z-index:15730688" id="docshape14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and </w:t>
      </w:r>
      <w:r>
        <w:rPr>
          <w:color w:val="6E6158"/>
        </w:rPr>
        <w:t>Technologies Business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66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Plaintiff</w:t>
      </w:r>
      <w:r>
        <w:rPr>
          <w:color w:val="6E6158"/>
          <w:spacing w:val="15"/>
        </w:rPr>
        <w:t> </w:t>
      </w:r>
      <w:r>
        <w:rPr>
          <w:color w:val="6E6158"/>
        </w:rPr>
        <w:t>Personal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Injury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55"/>
      </w:pPr>
      <w:r>
        <w:rPr>
          <w:color w:val="6E6158"/>
        </w:rPr>
        <w:t>Was part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7" w:lineRule="auto" w:before="1"/>
        <w:ind w:righ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395908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3859pt;width:1.65pt;height:1.65pt;mso-position-horizontal-relative:page;mso-position-vertical-relative:paragraph;z-index:15731712" id="docshape16" coordorigin="1675,623" coordsize="33,33" path="m1696,656l1687,656,1683,654,1676,648,1675,644,1675,635,1676,631,1683,625,1687,623,1696,623,1699,625,1706,631,1707,635,1707,640,1707,644,1706,648,1699,654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scheme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Prearranged</w:t>
      </w:r>
      <w:r>
        <w:rPr>
          <w:color w:val="6E6158"/>
          <w:spacing w:val="40"/>
        </w:rPr>
        <w:t> </w:t>
      </w:r>
      <w:r>
        <w:rPr>
          <w:color w:val="6E6158"/>
        </w:rPr>
        <w:t>Services,</w:t>
      </w:r>
      <w:r>
        <w:rPr>
          <w:color w:val="6E6158"/>
          <w:spacing w:val="40"/>
        </w:rPr>
        <w:t> </w:t>
      </w:r>
      <w:r>
        <w:rPr>
          <w:color w:val="6E6158"/>
        </w:rPr>
        <w:t>Inc.</w:t>
      </w:r>
      <w:r>
        <w:rPr>
          <w:color w:val="6E6158"/>
          <w:spacing w:val="40"/>
        </w:rPr>
        <w:t> </w:t>
      </w:r>
      <w:r>
        <w:rPr>
          <w:color w:val="6E6158"/>
        </w:rPr>
        <w:t>(a</w:t>
      </w:r>
      <w:r>
        <w:rPr>
          <w:color w:val="6E6158"/>
          <w:spacing w:val="40"/>
        </w:rPr>
        <w:t> </w:t>
      </w:r>
      <w:r>
        <w:rPr>
          <w:color w:val="6E6158"/>
        </w:rPr>
        <w:t>Missouri-based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PNC’s appeal of judgment is currently pending.</w:t>
      </w:r>
    </w:p>
    <w:p>
      <w:pPr>
        <w:pStyle w:val="BodyText"/>
        <w:spacing w:line="295" w:lineRule="auto" w:before="132"/>
        <w:ind w:right="1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871770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8.643364pt;width:1.65pt;height:1.65pt;mso-position-horizontal-relative:page;mso-position-vertical-relative:paragraph;z-index:15732224" id="docshape17" coordorigin="1675,1373" coordsize="33,33" path="m1696,1405l1687,1405,1683,1404,1676,1397,1675,1394,1675,1385,1676,1381,1683,1374,1687,1373,1696,1373,1699,1374,1706,1381,1707,1385,1707,1389,1707,1394,1706,1397,1699,1404,1696,1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the individual settlements of more than 2,200 claimants who suffered various </w:t>
      </w:r>
      <w:r>
        <w:rPr>
          <w:color w:val="6E6158"/>
        </w:rPr>
        <w:t>heart-</w:t>
      </w:r>
      <w:r>
        <w:rPr>
          <w:color w:val="6E6158"/>
          <w:spacing w:val="40"/>
        </w:rPr>
        <w:t> </w:t>
      </w:r>
      <w:r>
        <w:rPr>
          <w:color w:val="6E6158"/>
        </w:rPr>
        <w:t>related personal injuries (including death) from ingestion of a prescription drug widely prescribed for the treatment of Type 2 Diabetes.</w:t>
      </w:r>
      <w:r>
        <w:rPr>
          <w:color w:val="6E6158"/>
          <w:spacing w:val="80"/>
        </w:rPr>
        <w:t> </w:t>
      </w:r>
      <w:r>
        <w:rPr>
          <w:color w:val="6E6158"/>
        </w:rPr>
        <w:t>After a large settlement of these “mass tort” claims was reached, Tony’s job was to see that every claimant was qualified for settlement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later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ensure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net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funds</w:t>
      </w:r>
      <w:r>
        <w:rPr>
          <w:color w:val="6E6158"/>
          <w:spacing w:val="29"/>
        </w:rPr>
        <w:t> </w:t>
      </w:r>
      <w:r>
        <w:rPr>
          <w:color w:val="6E6158"/>
        </w:rPr>
        <w:t>were</w:t>
      </w:r>
      <w:r>
        <w:rPr>
          <w:color w:val="6E6158"/>
          <w:spacing w:val="29"/>
        </w:rPr>
        <w:t> </w:t>
      </w:r>
      <w:r>
        <w:rPr>
          <w:color w:val="6E6158"/>
        </w:rPr>
        <w:t>properly</w:t>
      </w:r>
      <w:r>
        <w:rPr>
          <w:color w:val="6E6158"/>
          <w:spacing w:val="29"/>
        </w:rPr>
        <w:t> </w:t>
      </w:r>
      <w:r>
        <w:rPr>
          <w:color w:val="6E6158"/>
        </w:rPr>
        <w:t>distributed.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</w:p>
    <w:p>
      <w:pPr>
        <w:pStyle w:val="BodyText"/>
        <w:spacing w:line="292" w:lineRule="auto"/>
        <w:ind w:right="382"/>
      </w:pPr>
      <w:r>
        <w:rPr>
          <w:color w:val="6E6158"/>
        </w:rPr>
        <w:t>such, Tony worked on behalf of his clients to collect their medical records and demonstrate</w:t>
      </w:r>
      <w:r>
        <w:rPr>
          <w:color w:val="6E6158"/>
          <w:spacing w:val="40"/>
        </w:rPr>
        <w:t> </w:t>
      </w:r>
      <w:r>
        <w:rPr>
          <w:color w:val="6E6158"/>
        </w:rPr>
        <w:t>proof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usage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injury,</w:t>
      </w:r>
      <w:r>
        <w:rPr>
          <w:color w:val="6E6158"/>
          <w:spacing w:val="31"/>
        </w:rPr>
        <w:t> </w:t>
      </w:r>
      <w:r>
        <w:rPr>
          <w:color w:val="6E6158"/>
        </w:rPr>
        <w:t>secure</w:t>
      </w:r>
      <w:r>
        <w:rPr>
          <w:color w:val="6E6158"/>
          <w:spacing w:val="31"/>
        </w:rPr>
        <w:t> </w:t>
      </w:r>
      <w:r>
        <w:rPr>
          <w:color w:val="6E6158"/>
        </w:rPr>
        <w:t>disability</w:t>
      </w:r>
      <w:r>
        <w:rPr>
          <w:color w:val="6E6158"/>
          <w:spacing w:val="31"/>
        </w:rPr>
        <w:t> </w:t>
      </w:r>
      <w:r>
        <w:rPr>
          <w:color w:val="6E6158"/>
        </w:rPr>
        <w:t>benefits</w:t>
      </w:r>
      <w:r>
        <w:rPr>
          <w:color w:val="6E6158"/>
          <w:spacing w:val="31"/>
        </w:rPr>
        <w:t> </w:t>
      </w:r>
      <w:r>
        <w:rPr>
          <w:color w:val="6E6158"/>
        </w:rPr>
        <w:t>where</w:t>
      </w:r>
      <w:r>
        <w:rPr>
          <w:color w:val="6E6158"/>
          <w:spacing w:val="31"/>
        </w:rPr>
        <w:t> </w:t>
      </w:r>
      <w:r>
        <w:rPr>
          <w:color w:val="6E6158"/>
        </w:rPr>
        <w:t>applicable,</w:t>
      </w:r>
      <w:r>
        <w:rPr>
          <w:color w:val="6E6158"/>
          <w:spacing w:val="31"/>
        </w:rPr>
        <w:t> </w:t>
      </w:r>
      <w:r>
        <w:rPr>
          <w:color w:val="6E6158"/>
        </w:rPr>
        <w:t>resolve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302" w:lineRule="auto"/>
      </w:pPr>
      <w:r>
        <w:rPr>
          <w:color w:val="6E6158"/>
        </w:rPr>
        <w:t>reimbursement from health insurance providers, and represent them as special counsel in any</w:t>
      </w:r>
      <w:r>
        <w:rPr>
          <w:color w:val="6E6158"/>
          <w:spacing w:val="40"/>
        </w:rPr>
        <w:t> </w:t>
      </w:r>
      <w:r>
        <w:rPr>
          <w:color w:val="6E6158"/>
        </w:rPr>
        <w:t>probate and bankruptcy matters related to individual settlements.</w:t>
      </w:r>
    </w:p>
    <w:p>
      <w:pPr>
        <w:pStyle w:val="BodyText"/>
        <w:spacing w:line="295" w:lineRule="auto" w:before="113"/>
        <w:ind w:right="3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953053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043602pt;width:1.65pt;height:1.65pt;mso-position-horizontal-relative:page;mso-position-vertical-relative:paragraph;z-index:15732736" id="docshape18" coordorigin="1675,1501" coordsize="33,33" path="m1696,1533l1687,1533,1683,1532,1676,1525,1675,1522,1675,1513,1676,1509,1683,1502,1687,1501,1696,1501,1699,1502,1706,1509,1707,1513,1707,1517,1707,1522,1706,1525,1699,1532,1696,1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group of auto dealerships facing a purported class action claiming that new</w:t>
      </w:r>
      <w:r>
        <w:rPr>
          <w:color w:val="6E6158"/>
          <w:spacing w:val="40"/>
        </w:rPr>
        <w:t> </w:t>
      </w:r>
      <w:r>
        <w:rPr>
          <w:color w:val="6E6158"/>
        </w:rPr>
        <w:t>cars were equipped and priced in violation of the Colorado Consumer Protection Act. After</w:t>
      </w:r>
      <w:r>
        <w:rPr>
          <w:color w:val="6E6158"/>
          <w:spacing w:val="40"/>
        </w:rPr>
        <w:t> </w:t>
      </w:r>
      <w:r>
        <w:rPr>
          <w:color w:val="6E6158"/>
        </w:rPr>
        <w:t>winning landmark reversals at the Colorado Court of Appeals and Supreme Court of the trial</w:t>
      </w:r>
      <w:r>
        <w:rPr>
          <w:color w:val="6E6158"/>
          <w:spacing w:val="40"/>
        </w:rPr>
        <w:t> </w:t>
      </w:r>
      <w:r>
        <w:rPr>
          <w:color w:val="6E6158"/>
        </w:rPr>
        <w:t>court’s initial approval of class treatment, Tony and the other trial team members once again</w:t>
      </w:r>
      <w:r>
        <w:rPr>
          <w:color w:val="6E6158"/>
          <w:spacing w:val="40"/>
        </w:rPr>
        <w:t> </w:t>
      </w:r>
      <w:r>
        <w:rPr>
          <w:color w:val="6E6158"/>
        </w:rPr>
        <w:t>defended against Plaintiffs’ renewed attempt at certification of two different proposed</w:t>
      </w:r>
      <w:r>
        <w:rPr>
          <w:color w:val="6E6158"/>
          <w:spacing w:val="40"/>
        </w:rPr>
        <w:t> </w:t>
      </w:r>
      <w:r>
        <w:rPr>
          <w:color w:val="6E6158"/>
        </w:rPr>
        <w:t>consumer classes. This five-year battle for class certification culminated in an extensive four-</w:t>
      </w:r>
      <w:r>
        <w:rPr>
          <w:color w:val="6E6158"/>
          <w:spacing w:val="40"/>
        </w:rPr>
        <w:t> </w:t>
      </w:r>
      <w:r>
        <w:rPr>
          <w:color w:val="6E6158"/>
        </w:rPr>
        <w:t>day</w:t>
      </w:r>
      <w:r>
        <w:rPr>
          <w:color w:val="6E6158"/>
          <w:spacing w:val="40"/>
        </w:rPr>
        <w:t>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hearing.</w:t>
      </w:r>
      <w:r>
        <w:rPr>
          <w:color w:val="6E6158"/>
          <w:spacing w:val="40"/>
        </w:rPr>
        <w:t> </w:t>
      </w:r>
      <w:r>
        <w:rPr>
          <w:color w:val="6E6158"/>
        </w:rPr>
        <w:t>Agreeing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dealership</w:t>
      </w:r>
      <w:r>
        <w:rPr>
          <w:color w:val="6E6158"/>
          <w:spacing w:val="40"/>
        </w:rPr>
        <w:t> </w:t>
      </w:r>
      <w:r>
        <w:rPr>
          <w:color w:val="6E6158"/>
        </w:rPr>
        <w:t>defendants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individual examinations of each car purchase file were necessary and class-wide inferences could not</w:t>
      </w:r>
      <w:r>
        <w:rPr>
          <w:color w:val="6E6158"/>
          <w:spacing w:val="80"/>
        </w:rPr>
        <w:t> </w:t>
      </w:r>
      <w:r>
        <w:rPr>
          <w:color w:val="6E6158"/>
        </w:rPr>
        <w:t>be made, the Jefferson County District Court denied Plaintiffs’ Second Motion for Class</w:t>
      </w:r>
      <w:r>
        <w:rPr>
          <w:color w:val="6E6158"/>
          <w:spacing w:val="40"/>
        </w:rPr>
        <w:t> </w:t>
      </w:r>
      <w:r>
        <w:rPr>
          <w:color w:val="6E6158"/>
        </w:rPr>
        <w:t>Certification on Rule 23 superiority and predominance grounds.</w:t>
      </w:r>
    </w:p>
    <w:p>
      <w:pPr>
        <w:pStyle w:val="BodyText"/>
        <w:spacing w:before="130"/>
      </w:pP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plaintiffs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multiple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class</w:t>
      </w:r>
      <w:r>
        <w:rPr>
          <w:color w:val="6E6158"/>
          <w:spacing w:val="14"/>
        </w:rPr>
        <w:t> </w:t>
      </w:r>
      <w:r>
        <w:rPr>
          <w:color w:val="6E6158"/>
        </w:rPr>
        <w:t>actions</w:t>
      </w:r>
      <w:r>
        <w:rPr>
          <w:color w:val="6E6158"/>
          <w:spacing w:val="14"/>
        </w:rPr>
        <w:t> </w:t>
      </w:r>
      <w:r>
        <w:rPr>
          <w:color w:val="6E6158"/>
        </w:rPr>
        <w:t>brought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4"/>
        </w:rPr>
        <w:t> </w:t>
      </w:r>
      <w:r>
        <w:rPr>
          <w:color w:val="6E6158"/>
        </w:rPr>
        <w:t>regional</w:t>
      </w:r>
      <w:r>
        <w:rPr>
          <w:color w:val="6E6158"/>
          <w:spacing w:val="14"/>
        </w:rPr>
        <w:t> </w:t>
      </w:r>
      <w:r>
        <w:rPr>
          <w:color w:val="6E6158"/>
        </w:rPr>
        <w:t>phone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provider</w:t>
      </w:r>
    </w:p>
    <w:p>
      <w:pPr>
        <w:pStyle w:val="BodyText"/>
        <w:spacing w:line="292" w:lineRule="auto" w:before="51"/>
        <w:ind w:right="5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185170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80372pt;width:1.65pt;height:1.65pt;mso-position-horizontal-relative:page;mso-position-vertical-relative:paragraph;z-index:15733248" id="docshape19" coordorigin="1675,292" coordsize="33,33" path="m1696,324l1687,324,1683,323,1676,316,1675,312,1675,303,1676,300,1683,293,1687,292,1696,292,1699,293,1706,300,1707,303,1707,308,1707,312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West (now Century Link) for installation delays experienced by 250,000 customers. The cases resolved when settlements were reached for $36 million in client damages and $7.2 million in attorney’s fees.</w:t>
      </w:r>
    </w:p>
    <w:p>
      <w:pPr>
        <w:pStyle w:val="BodyText"/>
        <w:spacing w:line="292" w:lineRule="auto" w:before="132"/>
        <w:ind w:right="38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329633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55404pt;width:1.65pt;height:1.65pt;mso-position-horizontal-relative:page;mso-position-vertical-relative:paragraph;z-index:15733760" id="docshape20" coordorigin="1675,519" coordsize="33,33" path="m1696,552l1687,552,1683,550,1676,544,1675,540,1675,531,1676,527,1683,521,1687,519,1696,519,1699,521,1706,527,1707,531,1707,535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 part of a trial team that twice successfully defeated class certification on behalf of the</w:t>
      </w:r>
      <w:r>
        <w:rPr>
          <w:color w:val="6E6158"/>
          <w:spacing w:val="40"/>
        </w:rPr>
        <w:t> </w:t>
      </w:r>
      <w:r>
        <w:rPr>
          <w:color w:val="6E6158"/>
        </w:rPr>
        <w:t>Old Line Life Insurance Company in a consumer/uniform business practices case filed in state</w:t>
      </w:r>
      <w:r>
        <w:rPr>
          <w:color w:val="6E6158"/>
          <w:spacing w:val="40"/>
        </w:rPr>
        <w:t> </w:t>
      </w:r>
      <w:r>
        <w:rPr>
          <w:color w:val="6E6158"/>
        </w:rPr>
        <w:t>court in California. The matter settled prior to trial.</w:t>
      </w:r>
    </w:p>
    <w:p>
      <w:pPr>
        <w:pStyle w:val="BodyText"/>
        <w:spacing w:line="297" w:lineRule="auto" w:before="124"/>
        <w:ind w:right="38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510505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97289pt;width:1.65pt;height:1.65pt;mso-position-horizontal-relative:page;mso-position-vertical-relative:paragraph;z-index:15734272" id="docshape21" coordorigin="1675,804" coordsize="33,33" path="m1696,836l1687,836,1683,835,1676,829,1675,825,1675,816,1676,812,1683,806,1687,804,1696,804,1699,806,1706,812,1707,816,1707,820,1707,825,1706,829,1699,835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Sued a regional brokerage firm on behalf of multiple state insurance guaranty associations</w:t>
      </w:r>
      <w:r>
        <w:rPr>
          <w:color w:val="6E6158"/>
          <w:spacing w:val="40"/>
        </w:rPr>
        <w:t> </w:t>
      </w:r>
      <w:r>
        <w:rPr>
          <w:color w:val="6E6158"/>
        </w:rPr>
        <w:t>following the liquidation of Midwest Life Insurance Company. The claims were for fraud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breach of fiduciary duties. After three successful jury trials in Colorado, Washington and a three-month trial in Iowa, the brokerage firm agreed to settle the cases for a combined $30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million.</w:t>
      </w:r>
    </w:p>
    <w:p>
      <w:pPr>
        <w:pStyle w:val="Heading2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  <w:ind w:righ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255736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36751pt;width:1.65pt;height:1.65pt;mso-position-horizontal-relative:page;mso-position-vertical-relative:paragraph;z-index:15734784" id="docshape22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Personal Injury Litigation: Plaintiffs, Mass Tort Litigation/Class Actions</w:t>
      </w:r>
      <w:r>
        <w:rPr>
          <w:color w:val="6E6158"/>
          <w:spacing w:val="40"/>
        </w:rPr>
        <w:t> </w:t>
      </w:r>
      <w:r>
        <w:rPr>
          <w:color w:val="6E6158"/>
        </w:rPr>
        <w:t>– Plaintiffs, 2016-2026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156252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3332pt;width:1.65pt;height:1.65pt;mso-position-horizontal-relative:page;mso-position-vertical-relative:paragraph;z-index:15735296" id="docshape23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173504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796pt;width:1.65pt;height:1.65pt;mso-position-horizontal-relative:page;mso-position-vertical-relative:paragraph;z-index:15735808" id="docshape2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Star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Colorado-Plaintiff, </w: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174011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693pt;width:1.65pt;height:1.65pt;mso-position-horizontal-relative:page;mso-position-vertical-relative:paragraph;z-index:15736320" id="docshape2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Barrister‘s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Action/Mass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(Plaintiff)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by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 Colorado,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2011,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250716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1423pt;width:1.65pt;height:1.65pt;mso-position-horizontal-relative:page;mso-position-vertical-relative:paragraph;z-index:15736832" id="docshape26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Cases To Watch: A Midyear Report – Defamation Question looms </w:t>
      </w:r>
      <w:r>
        <w:rPr>
          <w:color w:val="6E6158"/>
        </w:rPr>
        <w:t>for Class Action Attorneys,” Law360, June 5, 2023</w:t>
      </w:r>
    </w:p>
    <w:p>
      <w:pPr>
        <w:spacing w:line="27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224454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565pt;width:1.65pt;height:1.65pt;mso-position-horizontal-relative:page;mso-position-vertical-relative:paragraph;z-index:15737344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Presenter, “Pharmaceutical Mass Tort Cases: Key Issues from a Plaintiff Perspective,”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z w:val="20"/>
        </w:rPr>
        <w:t> Education Institute, Inc</w:t>
      </w:r>
      <w:r>
        <w:rPr>
          <w:color w:val="6E6158"/>
          <w:sz w:val="19"/>
        </w:rPr>
        <w:t>., January 2014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7856" id="docshape2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5"/>
        </w:rPr>
        <w:t> </w:t>
      </w:r>
      <w:r>
        <w:rPr>
          <w:color w:val="6E6158"/>
        </w:rPr>
        <w:t>“Litigation</w:t>
      </w:r>
      <w:r>
        <w:rPr>
          <w:color w:val="6E6158"/>
          <w:spacing w:val="6"/>
        </w:rPr>
        <w:t> </w:t>
      </w:r>
      <w:r>
        <w:rPr>
          <w:color w:val="6E6158"/>
        </w:rPr>
        <w:t>Conference</w:t>
      </w:r>
      <w:r>
        <w:rPr>
          <w:color w:val="6E6158"/>
          <w:spacing w:val="5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Attorneys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CPAs,”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December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2011</w:t>
      </w:r>
    </w:p>
    <w:p>
      <w:pPr>
        <w:spacing w:line="285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266912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6716pt;width:1.65pt;height:1.65pt;mso-position-horizontal-relative:page;mso-position-vertical-relative:paragraph;z-index:15738368" id="docshape29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Presenter, “Class Action Update: Today’s Trends &amp; Strategies for Success”, </w:t>
      </w:r>
      <w:r>
        <w:rPr>
          <w:i/>
          <w:color w:val="6E6158"/>
          <w:sz w:val="20"/>
        </w:rPr>
        <w:t>National Business</w:t>
      </w:r>
      <w:r>
        <w:rPr>
          <w:i/>
          <w:color w:val="6E6158"/>
          <w:sz w:val="20"/>
        </w:rPr>
        <w:t> Institute, </w:t>
      </w:r>
      <w:r>
        <w:rPr>
          <w:color w:val="6E6158"/>
          <w:sz w:val="19"/>
        </w:rPr>
        <w:t>November 2006</w:t>
      </w:r>
    </w:p>
    <w:p>
      <w:pPr>
        <w:pStyle w:val="BodyText"/>
        <w:spacing w:line="288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232670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20524pt;width:1.65pt;height:1.65pt;mso-position-horizontal-relative:page;mso-position-vertical-relative:paragraph;z-index:15738880" id="docshape30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“Annual Fall Torts Update and Litigation Boot Camp,” CLE in </w:t>
      </w:r>
      <w:r>
        <w:rPr>
          <w:i/>
          <w:color w:val="6E6158"/>
          <w:sz w:val="20"/>
        </w:rPr>
        <w:t>Colorado, Inc</w:t>
      </w:r>
      <w:r>
        <w:rPr>
          <w:color w:val="6E6158"/>
        </w:rPr>
        <w:t>., Various </w:t>
      </w:r>
      <w:r>
        <w:rPr>
          <w:color w:val="6E6158"/>
          <w:spacing w:val="-2"/>
        </w:rPr>
        <w:t>Dates</w:t>
      </w:r>
    </w:p>
    <w:p>
      <w:pPr>
        <w:pStyle w:val="Heading2"/>
        <w:spacing w:before="16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157995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618pt;width:1.65pt;height:1.65pt;mso-position-horizontal-relative:page;mso-position-vertical-relative:paragraph;z-index:15739392" id="docshape3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82"/>
        <w:ind w:right="34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663pt;width:1.65pt;height:1.65pt;mso-position-horizontal-relative:page;mso-position-vertical-relative:paragraph;z-index:15739904" id="docshape3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438623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7289pt;width:1.65pt;height:1.65pt;mso-position-horizontal-relative:page;mso-position-vertical-relative:paragraph;z-index:15740416" id="docshape33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Colorado Visiting Nurse </w:t>
      </w:r>
      <w:r>
        <w:rPr>
          <w:color w:val="6E6158"/>
        </w:rPr>
        <w:t>Association Board of Directors, Colorado Lawyers Committee</w:t>
      </w:r>
    </w:p>
    <w:p>
      <w:pPr>
        <w:pStyle w:val="Heading2"/>
        <w:spacing w:before="160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157606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927pt;width:1.65pt;height:1.65pt;mso-position-horizontal-relative:page;mso-position-vertical-relative:paragraph;z-index:15740928" id="docshape3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175335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97pt;width:1.65pt;height:1.65pt;mso-position-horizontal-relative:page;mso-position-vertical-relative:paragraph;z-index:15741440" id="docshape3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Third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170205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016pt;width:1.65pt;height:1.65pt;mso-position-horizontal-relative:page;mso-position-vertical-relative:paragraph;z-index:15741952" id="docshape3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175322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933pt;width:1.65pt;height:1.65pt;mso-position-horizontal-relative:page;mso-position-vertical-relative:paragraph;z-index:15742464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175272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978pt;width:1.65pt;height:1.65pt;mso-position-horizontal-relative:page;mso-position-vertical-relative:paragraph;z-index:15742976" id="docshape3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Missouri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175222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021pt;width:1.65pt;height:1.65pt;mso-position-horizontal-relative:page;mso-position-vertical-relative:paragraph;z-index:15743488" id="docshape39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175259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941pt;width:1.65pt;height:1.65pt;mso-position-horizontal-relative:page;mso-position-vertical-relative:paragraph;z-index:15744000" id="docshape4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175209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986pt;width:1.65pt;height:1.65pt;mso-position-horizontal-relative:page;mso-position-vertical-relative:paragraph;z-index:15744512" id="docshape4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Wisconsin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giacomi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2025-08-25T21:07:53Z</dcterms:created>
  <dcterms:modified xsi:type="dcterms:W3CDTF">2025-08-25T21:07:53Z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