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80943" y="1369338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DUFFY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GRAHAM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94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dgraham@fennemorelaw.com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639;top:2156;width:3052;height:505" id="docshape5" coordorigin="5639,2156" coordsize="3052,505" path="m8691,2653l5639,2653,5639,2661,8691,2661,8691,2653xm8691,2156l5639,2156,5639,2165,8691,2165,869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DUFFY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GRAHAM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  <w:p>
                        <w:pPr>
                          <w:tabs>
                            <w:tab w:pos="1694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dgraham@fennemorelaw.com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DUFFY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GRAHAM</w:t>
      </w:r>
    </w:p>
    <w:p>
      <w:pPr>
        <w:pStyle w:val="BodyText"/>
        <w:spacing w:line="297" w:lineRule="auto"/>
        <w:ind w:left="104" w:right="653"/>
      </w:pPr>
      <w:r>
        <w:rPr>
          <w:color w:val="6E6158"/>
        </w:rPr>
        <w:t>Duffy Graham offers strategic litigation guidance and effective communication and</w:t>
      </w:r>
      <w:r>
        <w:rPr>
          <w:color w:val="6E6158"/>
          <w:spacing w:val="40"/>
        </w:rPr>
        <w:t> </w:t>
      </w:r>
      <w:r>
        <w:rPr>
          <w:color w:val="6E6158"/>
        </w:rPr>
        <w:t>collaboration in handling complex commercial disputes. His comprehensive experience spans</w:t>
      </w:r>
      <w:r>
        <w:rPr>
          <w:color w:val="6E6158"/>
          <w:spacing w:val="40"/>
        </w:rPr>
        <w:t> </w:t>
      </w:r>
      <w:r>
        <w:rPr>
          <w:color w:val="6E6158"/>
        </w:rPr>
        <w:t>pretrial, trial, and appellate proceedings in both federal and state courts, as well as alternative</w:t>
      </w:r>
      <w:r>
        <w:rPr>
          <w:color w:val="6E6158"/>
          <w:spacing w:val="40"/>
        </w:rPr>
        <w:t> </w:t>
      </w:r>
      <w:r>
        <w:rPr>
          <w:color w:val="6E6158"/>
        </w:rPr>
        <w:t>dispute resolution forums. A Yale Law School graduate, Duffy is licensed to practice in California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Washington,</w:t>
      </w:r>
      <w:r>
        <w:rPr>
          <w:color w:val="6E6158"/>
          <w:spacing w:val="33"/>
        </w:rPr>
        <w:t> </w:t>
      </w:r>
      <w:r>
        <w:rPr>
          <w:color w:val="6E6158"/>
        </w:rPr>
        <w:t>bringing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nuanced</w:t>
      </w:r>
      <w:r>
        <w:rPr>
          <w:color w:val="6E6158"/>
          <w:spacing w:val="33"/>
        </w:rPr>
        <w:t> </w:t>
      </w:r>
      <w:r>
        <w:rPr>
          <w:color w:val="6E6158"/>
        </w:rPr>
        <w:t>understanding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different</w:t>
      </w:r>
      <w:r>
        <w:rPr>
          <w:color w:val="6E6158"/>
          <w:spacing w:val="33"/>
        </w:rPr>
        <w:t> </w:t>
      </w:r>
      <w:r>
        <w:rPr>
          <w:color w:val="6E6158"/>
        </w:rPr>
        <w:t>legal</w:t>
      </w:r>
      <w:r>
        <w:rPr>
          <w:color w:val="6E6158"/>
          <w:spacing w:val="33"/>
        </w:rPr>
        <w:t> </w:t>
      </w:r>
      <w:r>
        <w:rPr>
          <w:color w:val="6E6158"/>
        </w:rPr>
        <w:t>landscapes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his</w:t>
      </w:r>
    </w:p>
    <w:p>
      <w:pPr>
        <w:pStyle w:val="BodyText"/>
        <w:spacing w:line="229" w:lineRule="exact" w:before="0"/>
        <w:ind w:left="104"/>
      </w:pPr>
      <w:r>
        <w:rPr>
          <w:color w:val="6E6158"/>
          <w:spacing w:val="-2"/>
        </w:rPr>
        <w:t>practice.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0"/>
        <w:ind w:left="104" w:right="653"/>
      </w:pPr>
      <w:r>
        <w:rPr>
          <w:color w:val="6E6158"/>
        </w:rPr>
        <w:t>Duffy also clerked for the Honorable Alan B. Handler at the Supreme Court of New Jersey and</w:t>
      </w:r>
      <w:r>
        <w:rPr>
          <w:color w:val="6E6158"/>
          <w:spacing w:val="40"/>
        </w:rPr>
        <w:t> </w:t>
      </w:r>
      <w:r>
        <w:rPr>
          <w:color w:val="6E6158"/>
        </w:rPr>
        <w:t>practiced at Morrison &amp; Foerster in Los Angeles. He is a recipient of the Wiley W. Manuel Pro Bono</w:t>
      </w:r>
      <w:r>
        <w:rPr>
          <w:color w:val="6E6158"/>
          <w:spacing w:val="40"/>
        </w:rPr>
        <w:t> </w:t>
      </w:r>
      <w:r>
        <w:rPr>
          <w:color w:val="6E6158"/>
        </w:rPr>
        <w:t>Services Award from the State Bar of California, reflecting his commitment to service and excellence in the legal field.</w:t>
      </w:r>
    </w:p>
    <w:p>
      <w:pPr>
        <w:pStyle w:val="BodyText"/>
        <w:spacing w:line="288" w:lineRule="auto" w:before="196"/>
        <w:ind w:left="104" w:right="708"/>
      </w:pPr>
      <w:r>
        <w:rPr>
          <w:color w:val="6E6158"/>
        </w:rPr>
        <w:t>In addition to his legal career, Duffy contributes to academic discourse as the co-editor of several essay collections on social thinkers and as the author of </w:t>
      </w:r>
      <w:r>
        <w:rPr>
          <w:i/>
          <w:color w:val="6E6158"/>
          <w:sz w:val="20"/>
        </w:rPr>
        <w:t>The Consciousness of the</w:t>
      </w:r>
      <w:r>
        <w:rPr>
          <w:i/>
          <w:color w:val="6E6158"/>
          <w:sz w:val="20"/>
        </w:rPr>
        <w:t> Litigator</w:t>
      </w:r>
      <w:r>
        <w:rPr>
          <w:color w:val="6E6158"/>
        </w:rPr>
        <w:t>, a University of Michigan Press publication analyzing the moral sensibility of </w:t>
      </w:r>
      <w:r>
        <w:rPr>
          <w:color w:val="6E6158"/>
        </w:rPr>
        <w:t>litigation work. His legal acumen, combined with his scholarly pursuits, underscores his approach to</w:t>
      </w:r>
      <w:r>
        <w:rPr>
          <w:color w:val="6E6158"/>
          <w:spacing w:val="40"/>
        </w:rPr>
        <w:t> </w:t>
      </w:r>
      <w:r>
        <w:rPr>
          <w:color w:val="6E6158"/>
        </w:rPr>
        <w:t>litigation and client representation.</w:t>
      </w:r>
    </w:p>
    <w:p>
      <w:pPr>
        <w:pStyle w:val="Heading1"/>
        <w:spacing w:before="167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157689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488pt;width:1.65pt;height:1.65pt;mso-position-horizontal-relative:page;mso-position-vertical-relative:paragraph;z-index:15729664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2"/>
        </w:rPr>
        <w:t> </w:t>
      </w:r>
      <w:r>
        <w:rPr>
          <w:color w:val="6E6158"/>
        </w:rPr>
        <w:t>Yale</w:t>
      </w:r>
      <w:r>
        <w:rPr>
          <w:color w:val="6E6158"/>
          <w:spacing w:val="2"/>
        </w:rPr>
        <w:t> </w:t>
      </w:r>
      <w:r>
        <w:rPr>
          <w:color w:val="6E6158"/>
        </w:rPr>
        <w:t>Law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School</w:t>
      </w:r>
    </w:p>
    <w:p>
      <w:pPr>
        <w:spacing w:before="163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169704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525pt;width:1.65pt;height:1.65pt;mso-position-horizontal-relative:page;mso-position-vertical-relative:paragraph;z-index:15730176" id="docshape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Williams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College,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with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highest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honors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/>
        <w:ind w:right="7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157929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384pt;width:1.65pt;height:1.65pt;mso-position-horizontal-relative:page;mso-position-vertical-relative:paragraph;z-index:15730688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416294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125pt;width:1.65pt;height:1.65pt;mso-position-horizontal-relative:page;mso-position-vertical-relative:paragraph;z-index:15731200" id="docshape1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674660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2871pt;width:1.65pt;height:1.65pt;mso-position-horizontal-relative:page;mso-position-vertical-relative:paragraph;z-index:15731712" id="docshape11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Estate Litigation Intellectual </w:t>
      </w:r>
      <w:r>
        <w:rPr>
          <w:color w:val="6E6158"/>
        </w:rPr>
        <w:t>Property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88" w:lineRule="auto" w:before="136"/>
        <w:ind w:right="653"/>
      </w:pPr>
      <w:r>
        <w:rPr>
          <w:b/>
          <w:i/>
          <w:color w:val="6E6158"/>
          <w:sz w:val="20"/>
        </w:rPr>
        <w:t>Gamble v. City of Seattle. </w:t>
      </w:r>
      <w:r>
        <w:rPr>
          <w:color w:val="6E6158"/>
        </w:rPr>
        <w:t>Successfully defended against appeal to Washington Court of Appeals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petition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review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Washington</w:t>
      </w:r>
      <w:r>
        <w:rPr>
          <w:color w:val="6E6158"/>
          <w:spacing w:val="15"/>
        </w:rPr>
        <w:t> </w:t>
      </w:r>
      <w:r>
        <w:rPr>
          <w:color w:val="6E6158"/>
        </w:rPr>
        <w:t>Supreme</w:t>
      </w:r>
      <w:r>
        <w:rPr>
          <w:color w:val="6E6158"/>
          <w:spacing w:val="15"/>
        </w:rPr>
        <w:t> </w:t>
      </w:r>
      <w:r>
        <w:rPr>
          <w:color w:val="6E6158"/>
        </w:rPr>
        <w:t>Court</w:t>
      </w:r>
      <w:r>
        <w:rPr>
          <w:color w:val="6E6158"/>
          <w:spacing w:val="15"/>
        </w:rPr>
        <w:t> </w:t>
      </w:r>
      <w:r>
        <w:rPr>
          <w:color w:val="6E6158"/>
        </w:rPr>
        <w:t>from</w:t>
      </w:r>
      <w:r>
        <w:rPr>
          <w:color w:val="6E6158"/>
          <w:spacing w:val="15"/>
        </w:rPr>
        <w:t> </w:t>
      </w:r>
      <w:r>
        <w:rPr>
          <w:color w:val="6E6158"/>
        </w:rPr>
        <w:t>complete</w:t>
      </w:r>
      <w:r>
        <w:rPr>
          <w:color w:val="6E6158"/>
          <w:spacing w:val="15"/>
        </w:rPr>
        <w:t> </w:t>
      </w:r>
      <w:r>
        <w:rPr>
          <w:color w:val="6E6158"/>
        </w:rPr>
        <w:t>defense</w:t>
      </w:r>
    </w:p>
    <w:p>
      <w:pPr>
        <w:pStyle w:val="BodyText"/>
        <w:spacing w:before="1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1063521</wp:posOffset>
                </wp:positionH>
                <wp:positionV relativeFrom="paragraph">
                  <wp:posOffset>140444</wp:posOffset>
                </wp:positionV>
                <wp:extent cx="20955" cy="2095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58594pt;width:1.65pt;height:1.65pt;mso-position-horizontal-relative:page;mso-position-vertical-relative:paragraph;z-index:-15728128;mso-wrap-distance-left:0;mso-wrap-distance-right:0" id="docshape12" coordorigin="1675,221" coordsize="33,33" path="m1696,254l1687,254,1683,252,1676,246,1675,242,1675,233,1676,229,1683,223,1687,221,1696,221,1699,223,1706,229,1707,233,1707,237,1707,242,1706,246,1699,252,1696,25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6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436"/>
      </w:pPr>
      <w:r>
        <w:rPr>
          <w:color w:val="6E6158"/>
        </w:rPr>
        <w:t>verdict in jury trial on employment discrimination claims by former municipal employee for</w:t>
      </w:r>
      <w:r>
        <w:rPr>
          <w:color w:val="6E6158"/>
          <w:spacing w:val="40"/>
        </w:rPr>
        <w:t> </w:t>
      </w:r>
      <w:r>
        <w:rPr>
          <w:color w:val="6E6158"/>
        </w:rPr>
        <w:t>disparate treatment, retaliation, and hostile work environment.</w:t>
      </w:r>
    </w:p>
    <w:p>
      <w:pPr>
        <w:pStyle w:val="BodyText"/>
        <w:spacing w:line="290" w:lineRule="auto" w:before="122"/>
        <w:ind w:right="7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417047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8364pt;width:1.65pt;height:1.65pt;mso-position-horizontal-relative:page;mso-position-vertical-relative:paragraph;z-index:15732224" id="docshape13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DeNault v. Nice Group USA, Inc. et al. </w:t>
      </w:r>
      <w:r>
        <w:rPr>
          <w:color w:val="6E6158"/>
        </w:rPr>
        <w:t>Represented former owner and CEO of manufacturer and marketer of industrial security devices in action against foreign corporation and</w:t>
      </w:r>
      <w:r>
        <w:rPr>
          <w:color w:val="6E6158"/>
          <w:spacing w:val="40"/>
        </w:rPr>
        <w:t> </w:t>
      </w:r>
      <w:r>
        <w:rPr>
          <w:color w:val="6E6158"/>
        </w:rPr>
        <w:t>American</w:t>
      </w:r>
      <w:r>
        <w:rPr>
          <w:color w:val="6E6158"/>
          <w:spacing w:val="37"/>
        </w:rPr>
        <w:t> </w:t>
      </w:r>
      <w:r>
        <w:rPr>
          <w:color w:val="6E6158"/>
        </w:rPr>
        <w:t>subsidiaries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alleged</w:t>
      </w:r>
      <w:r>
        <w:rPr>
          <w:color w:val="6E6158"/>
          <w:spacing w:val="37"/>
        </w:rPr>
        <w:t> </w:t>
      </w:r>
      <w:r>
        <w:rPr>
          <w:color w:val="6E6158"/>
        </w:rPr>
        <w:t>breach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stock</w:t>
      </w:r>
      <w:r>
        <w:rPr>
          <w:color w:val="6E6158"/>
          <w:spacing w:val="37"/>
        </w:rPr>
        <w:t> </w:t>
      </w:r>
      <w:r>
        <w:rPr>
          <w:color w:val="6E6158"/>
        </w:rPr>
        <w:t>purchase</w:t>
      </w:r>
      <w:r>
        <w:rPr>
          <w:color w:val="6E6158"/>
          <w:spacing w:val="37"/>
        </w:rPr>
        <w:t> </w:t>
      </w:r>
      <w:r>
        <w:rPr>
          <w:color w:val="6E6158"/>
        </w:rPr>
        <w:t>agreement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earnout</w:t>
      </w:r>
    </w:p>
    <w:p>
      <w:pPr>
        <w:pStyle w:val="BodyText"/>
        <w:spacing w:before="4"/>
      </w:pPr>
      <w:r>
        <w:rPr>
          <w:color w:val="6E6158"/>
        </w:rPr>
        <w:t>agreement;</w:t>
      </w:r>
      <w:r>
        <w:rPr>
          <w:color w:val="6E6158"/>
          <w:spacing w:val="19"/>
        </w:rPr>
        <w:t> </w:t>
      </w:r>
      <w:r>
        <w:rPr>
          <w:color w:val="6E6158"/>
        </w:rPr>
        <w:t>obtained</w:t>
      </w:r>
      <w:r>
        <w:rPr>
          <w:color w:val="6E6158"/>
          <w:spacing w:val="20"/>
        </w:rPr>
        <w:t> </w:t>
      </w:r>
      <w:r>
        <w:rPr>
          <w:color w:val="6E6158"/>
        </w:rPr>
        <w:t>favorable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settlement.</w:t>
      </w:r>
    </w:p>
    <w:p>
      <w:pPr>
        <w:pStyle w:val="BodyText"/>
        <w:spacing w:line="295" w:lineRule="auto" w:before="172"/>
        <w:ind w:right="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722688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904587pt;width:1.65pt;height:1.65pt;mso-position-horizontal-relative:page;mso-position-vertical-relative:paragraph;z-index:15732736" id="docshape14" coordorigin="1675,1138" coordsize="33,33" path="m1696,1171l1687,1171,1683,1169,1676,1163,1675,1159,1675,1150,1676,1146,1683,1140,1687,1138,1696,1138,1699,1140,1706,1146,1707,1150,1707,1154,1707,1159,1706,1163,1699,1169,1696,11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Quackenbush et al. v. Lehua USA et al. </w:t>
      </w:r>
      <w:r>
        <w:rPr>
          <w:color w:val="6E6158"/>
        </w:rPr>
        <w:t>Represented major cannabis industry player and senior executives in the prosecution of trade secret theft and trademark infringement claims</w:t>
      </w:r>
      <w:r>
        <w:rPr>
          <w:color w:val="6E6158"/>
          <w:spacing w:val="40"/>
        </w:rPr>
        <w:t> </w:t>
      </w:r>
      <w:r>
        <w:rPr>
          <w:color w:val="6E6158"/>
        </w:rPr>
        <w:t>against former executive and former employee, and in defending against employment and</w:t>
      </w:r>
      <w:r>
        <w:rPr>
          <w:color w:val="6E6158"/>
          <w:spacing w:val="40"/>
        </w:rPr>
        <w:t> </w:t>
      </w:r>
      <w:r>
        <w:rPr>
          <w:color w:val="6E6158"/>
        </w:rPr>
        <w:t>defamation claims; obtained preliminary injunction ordering the immediate return of intellectual property and equipment, and the cessation of the use of client trade secrets and</w:t>
      </w:r>
      <w:r>
        <w:rPr>
          <w:color w:val="6E6158"/>
          <w:spacing w:val="40"/>
        </w:rPr>
        <w:t> </w:t>
      </w:r>
      <w:r>
        <w:rPr>
          <w:color w:val="6E6158"/>
        </w:rPr>
        <w:t>trademarks,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then</w:t>
      </w:r>
      <w:r>
        <w:rPr>
          <w:color w:val="6E6158"/>
          <w:spacing w:val="35"/>
        </w:rPr>
        <w:t> </w:t>
      </w:r>
      <w:r>
        <w:rPr>
          <w:color w:val="6E6158"/>
        </w:rPr>
        <w:t>ultimately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permanent</w:t>
      </w:r>
      <w:r>
        <w:rPr>
          <w:color w:val="6E6158"/>
          <w:spacing w:val="35"/>
        </w:rPr>
        <w:t> </w:t>
      </w:r>
      <w:r>
        <w:rPr>
          <w:color w:val="6E6158"/>
        </w:rPr>
        <w:t>injunction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  <w:r>
        <w:rPr>
          <w:color w:val="6E6158"/>
          <w:spacing w:val="35"/>
        </w:rPr>
        <w:t> </w:t>
      </w:r>
      <w:r>
        <w:rPr>
          <w:color w:val="6E6158"/>
        </w:rPr>
        <w:t>trade</w:t>
      </w:r>
      <w:r>
        <w:rPr>
          <w:color w:val="6E6158"/>
          <w:spacing w:val="35"/>
        </w:rPr>
        <w:t> </w:t>
      </w:r>
      <w:r>
        <w:rPr>
          <w:color w:val="6E6158"/>
        </w:rPr>
        <w:t>secret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trademark use and the dismissal of all claims against our clients.</w:t>
      </w:r>
    </w:p>
    <w:p>
      <w:pPr>
        <w:pStyle w:val="BodyText"/>
        <w:spacing w:line="297" w:lineRule="auto" w:before="103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410218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00682pt;width:1.65pt;height:1.65pt;mso-position-horizontal-relative:page;mso-position-vertical-relative:paragraph;z-index:15733248" id="docshape15" coordorigin="1675,646" coordsize="33,33" path="m1696,679l1687,679,1683,677,1676,671,1675,667,1675,658,1676,654,1683,648,1687,646,1696,646,1699,648,1706,654,1707,658,1707,662,1707,667,1706,671,1699,677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Move, Inc. v. Zillow, Inc. </w:t>
      </w:r>
      <w:r>
        <w:rPr>
          <w:color w:val="6E6158"/>
        </w:rPr>
        <w:t>Represented executive defending against trade secret and employment</w:t>
      </w:r>
      <w:r>
        <w:rPr>
          <w:color w:val="6E6158"/>
          <w:spacing w:val="13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lawsuit</w:t>
      </w:r>
      <w:r>
        <w:rPr>
          <w:color w:val="6E6158"/>
          <w:spacing w:val="13"/>
        </w:rPr>
        <w:t> </w:t>
      </w:r>
      <w:r>
        <w:rPr>
          <w:color w:val="6E6158"/>
        </w:rPr>
        <w:t>seeking</w:t>
      </w:r>
      <w:r>
        <w:rPr>
          <w:color w:val="6E6158"/>
          <w:spacing w:val="13"/>
        </w:rPr>
        <w:t> </w:t>
      </w:r>
      <w:r>
        <w:rPr>
          <w:color w:val="6E6158"/>
        </w:rPr>
        <w:t>$2</w:t>
      </w:r>
      <w:r>
        <w:rPr>
          <w:color w:val="6E6158"/>
          <w:spacing w:val="13"/>
        </w:rPr>
        <w:t> </w:t>
      </w:r>
      <w:r>
        <w:rPr>
          <w:color w:val="6E6158"/>
        </w:rPr>
        <w:t>billion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damages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career-ending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relief;</w:t>
      </w:r>
    </w:p>
    <w:p>
      <w:pPr>
        <w:pStyle w:val="BodyText"/>
        <w:spacing w:line="292" w:lineRule="auto" w:before="0"/>
        <w:ind w:right="653"/>
      </w:pPr>
      <w:r>
        <w:rPr>
          <w:color w:val="6E6158"/>
        </w:rPr>
        <w:t>obtained summary judgment on purported trade secret document, defended at </w:t>
      </w:r>
      <w:r>
        <w:rPr>
          <w:color w:val="6E6158"/>
        </w:rPr>
        <w:t>evidentiary</w:t>
      </w:r>
      <w:r>
        <w:rPr>
          <w:color w:val="6E6158"/>
          <w:spacing w:val="40"/>
        </w:rPr>
        <w:t> </w:t>
      </w:r>
      <w:r>
        <w:rPr>
          <w:color w:val="6E6158"/>
        </w:rPr>
        <w:t>hearing spoliation allegations, and obtained favorable settlement prior to trial.</w:t>
      </w:r>
    </w:p>
    <w:p>
      <w:pPr>
        <w:pStyle w:val="BodyText"/>
        <w:spacing w:line="292" w:lineRule="auto" w:before="116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413465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56305pt;width:1.65pt;height:1.65pt;mso-position-horizontal-relative:page;mso-position-vertical-relative:paragraph;z-index:15733760" id="docshape16" coordorigin="1675,651" coordsize="33,33" path="m1696,684l1687,684,1683,682,1676,676,1675,672,1675,663,1676,659,1683,653,1687,651,1696,651,1699,653,1706,659,1707,663,1707,667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Baerwaldt v. City of Seattle, et al. </w:t>
      </w:r>
      <w:r>
        <w:rPr>
          <w:color w:val="6E6158"/>
        </w:rPr>
        <w:t>Defended challenge under Initiative-91 to agreement among the City of Seattle, King County and Chris Hansen’s ArenaCo regarding public financing for a new NBA basketball arena in Seattle; prepared motion to dismiss on behalf of</w:t>
      </w:r>
      <w:r>
        <w:rPr>
          <w:color w:val="6E6158"/>
          <w:spacing w:val="40"/>
        </w:rPr>
        <w:t> </w:t>
      </w:r>
      <w:r>
        <w:rPr>
          <w:color w:val="6E6158"/>
        </w:rPr>
        <w:t>all defendants and obtained dismissal of all claims on ripeness grounds.</w:t>
      </w:r>
    </w:p>
    <w:p>
      <w:pPr>
        <w:pStyle w:val="BodyText"/>
        <w:spacing w:line="295" w:lineRule="auto" w:before="118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507540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963844pt;width:1.65pt;height:1.65pt;mso-position-horizontal-relative:page;mso-position-vertical-relative:paragraph;z-index:15734272" id="docshape17" coordorigin="1675,799" coordsize="33,33" path="m1696,832l1687,832,1683,830,1676,824,1675,820,1675,811,1676,807,1683,801,1687,799,1696,799,1699,801,1706,807,1707,811,1707,816,1707,820,1706,824,1699,830,1696,8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ChemPoint v. Xenon Arc Inc., et al. </w:t>
      </w:r>
      <w:r>
        <w:rPr>
          <w:color w:val="6E6158"/>
        </w:rPr>
        <w:t>Defended technology startup and its founders against claims for misappropriation of trade secrets, false advertising, usurpation of corporate opportunity and breach of fiduciary duty; obtained ruling entitling clients to advancement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fees under plaintiff’s articles of incorporation, partial summary judgment, and then favorable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settlement.</w:t>
      </w:r>
    </w:p>
    <w:p>
      <w:pPr>
        <w:spacing w:line="295" w:lineRule="auto" w:before="106"/>
        <w:ind w:left="356" w:right="65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407235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65800pt;width:1.65pt;height:1.65pt;mso-position-horizontal-relative:page;mso-position-vertical-relative:paragraph;z-index:15734784" id="docshape18" coordorigin="1675,641" coordsize="33,33" path="m1696,674l1687,674,1683,672,1676,666,1675,662,1675,653,1676,649,1683,643,1687,641,1696,641,1699,643,1706,649,1707,653,1707,658,1707,662,1706,666,1699,672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Pande Cameron v. Central Puget Sound Regional Transit Authority, et al. </w:t>
      </w:r>
      <w:r>
        <w:rPr>
          <w:color w:val="6E6158"/>
          <w:sz w:val="19"/>
        </w:rPr>
        <w:t>Defended inverse condemnation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constitutional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due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process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arising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from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6"/>
          <w:sz w:val="19"/>
        </w:rPr>
        <w:t> </w:t>
      </w:r>
      <w:r>
        <w:rPr>
          <w:color w:val="6E6158"/>
          <w:sz w:val="19"/>
        </w:rPr>
        <w:t>Seattle’s participation in regional transit authority construction project; obtained summary judgment </w:t>
      </w:r>
      <w:r>
        <w:rPr>
          <w:color w:val="6E6158"/>
          <w:sz w:val="19"/>
        </w:rPr>
        <w:t>on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all claims; defended judgment on appeal and prevailed in the Ninth Circuit.</w:t>
      </w:r>
    </w:p>
    <w:p>
      <w:pPr>
        <w:pStyle w:val="BodyText"/>
        <w:spacing w:line="295" w:lineRule="auto" w:before="108"/>
        <w:ind w:right="4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320810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60668pt;width:1.65pt;height:1.65pt;mso-position-horizontal-relative:page;mso-position-vertical-relative:paragraph;z-index:15735296" id="docshape19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Paley v. Radar Networks Inc., et al. </w:t>
      </w:r>
      <w:r>
        <w:rPr>
          <w:color w:val="6E6158"/>
        </w:rPr>
        <w:t>Defended claims alleging unfair competition, conversion and fraudulent transfer arising from sale of technology company assets; obtained partial</w:t>
      </w:r>
      <w:r>
        <w:rPr>
          <w:color w:val="6E6158"/>
          <w:spacing w:val="40"/>
        </w:rPr>
        <w:t> </w:t>
      </w:r>
      <w:r>
        <w:rPr>
          <w:color w:val="6E6158"/>
        </w:rPr>
        <w:t>summary</w:t>
      </w:r>
      <w:r>
        <w:rPr>
          <w:color w:val="6E6158"/>
          <w:spacing w:val="18"/>
        </w:rPr>
        <w:t> </w:t>
      </w:r>
      <w:r>
        <w:rPr>
          <w:color w:val="6E6158"/>
        </w:rPr>
        <w:t>judgment</w:t>
      </w:r>
      <w:r>
        <w:rPr>
          <w:color w:val="6E6158"/>
          <w:spacing w:val="18"/>
        </w:rPr>
        <w:t> </w:t>
      </w:r>
      <w:r>
        <w:rPr>
          <w:color w:val="6E6158"/>
        </w:rPr>
        <w:t>dismissing</w:t>
      </w:r>
      <w:r>
        <w:rPr>
          <w:color w:val="6E6158"/>
          <w:spacing w:val="18"/>
        </w:rPr>
        <w:t> </w:t>
      </w:r>
      <w:r>
        <w:rPr>
          <w:color w:val="6E6158"/>
        </w:rPr>
        <w:t>most</w:t>
      </w:r>
      <w:r>
        <w:rPr>
          <w:color w:val="6E6158"/>
          <w:spacing w:val="18"/>
        </w:rPr>
        <w:t> </w:t>
      </w:r>
      <w:r>
        <w:rPr>
          <w:color w:val="6E6158"/>
        </w:rPr>
        <w:t>claims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then</w:t>
      </w:r>
      <w:r>
        <w:rPr>
          <w:color w:val="6E6158"/>
          <w:spacing w:val="18"/>
        </w:rPr>
        <w:t> </w:t>
      </w:r>
      <w:r>
        <w:rPr>
          <w:color w:val="6E6158"/>
        </w:rPr>
        <w:t>favorable</w:t>
      </w:r>
      <w:r>
        <w:rPr>
          <w:color w:val="6E6158"/>
          <w:spacing w:val="18"/>
        </w:rPr>
        <w:t> </w:t>
      </w:r>
      <w:r>
        <w:rPr>
          <w:color w:val="6E6158"/>
        </w:rPr>
        <w:t>settlement</w:t>
      </w:r>
      <w:r>
        <w:rPr>
          <w:color w:val="6E6158"/>
          <w:spacing w:val="18"/>
        </w:rPr>
        <w:t> </w:t>
      </w:r>
      <w:r>
        <w:rPr>
          <w:color w:val="6E6158"/>
        </w:rPr>
        <w:t>on</w:t>
      </w:r>
      <w:r>
        <w:rPr>
          <w:color w:val="6E6158"/>
          <w:spacing w:val="18"/>
        </w:rPr>
        <w:t> </w:t>
      </w:r>
      <w:r>
        <w:rPr>
          <w:color w:val="6E6158"/>
        </w:rPr>
        <w:t>remaining</w:t>
      </w:r>
      <w:r>
        <w:rPr>
          <w:color w:val="6E6158"/>
          <w:spacing w:val="18"/>
        </w:rPr>
        <w:t> </w:t>
      </w:r>
      <w:r>
        <w:rPr>
          <w:color w:val="6E6158"/>
        </w:rPr>
        <w:t>claim.</w:t>
      </w:r>
    </w:p>
    <w:p>
      <w:pPr>
        <w:pStyle w:val="BodyText"/>
        <w:spacing w:line="295" w:lineRule="auto" w:before="110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409896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275341pt;width:1.65pt;height:1.65pt;mso-position-horizontal-relative:page;mso-position-vertical-relative:paragraph;z-index:15735808" id="docshape20" coordorigin="1675,646" coordsize="33,33" path="m1696,678l1687,678,1683,676,1676,670,1675,666,1675,657,1676,653,1683,647,1687,646,1696,646,1699,647,1706,653,1707,657,1707,662,1707,666,1706,670,1699,676,1696,6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Maier v. Sesame Communications Inc. </w:t>
      </w:r>
      <w:r>
        <w:rPr>
          <w:color w:val="6E6158"/>
        </w:rPr>
        <w:t>Prosecuted claims for breach of employment agreement, wage and hour law violations, and tortious interference with exercise of stock</w:t>
      </w:r>
      <w:r>
        <w:rPr>
          <w:color w:val="6E6158"/>
          <w:spacing w:val="40"/>
        </w:rPr>
        <w:t> </w:t>
      </w:r>
      <w:r>
        <w:rPr>
          <w:color w:val="6E6158"/>
        </w:rPr>
        <w:t>options arising from termination of company founder and CEO’s employment;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0" w:lineRule="auto" w:before="109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320931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70235pt;width:1.65pt;height:1.65pt;mso-position-horizontal-relative:page;mso-position-vertical-relative:paragraph;z-index:15736320" id="docshape21" coordorigin="1675,505" coordsize="33,33" path="m1696,538l1687,538,1683,536,1676,530,1675,526,1675,517,1676,513,1683,507,1687,505,1696,505,1699,507,1706,513,1707,517,1707,522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Rufin v. City of Seattle and Carrasco</w:t>
      </w:r>
      <w:r>
        <w:rPr>
          <w:color w:val="6E6158"/>
        </w:rPr>
        <w:t>. Successfully defended against petition for review to the Washington Supreme Court from Court of Appeals decision affirming trial court denial of post-</w:t>
      </w:r>
      <w:r>
        <w:rPr>
          <w:color w:val="6E6158"/>
          <w:spacing w:val="40"/>
        </w:rPr>
        <w:t> </w:t>
      </w:r>
      <w:r>
        <w:rPr>
          <w:color w:val="6E6158"/>
        </w:rPr>
        <w:t>trial motion for relief alleging discovery violations.</w:t>
      </w:r>
    </w:p>
    <w:p>
      <w:pPr>
        <w:spacing w:line="288" w:lineRule="auto" w:before="124"/>
        <w:ind w:left="356" w:right="65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330570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029161pt;width:1.65pt;height:1.65pt;mso-position-horizontal-relative:page;mso-position-vertical-relative:paragraph;z-index:15736832" id="docshape22" coordorigin="1675,521" coordsize="33,33" path="m1696,553l1687,553,1683,552,1676,545,1675,541,1675,532,1676,529,1683,522,1687,521,1696,521,1699,522,1706,529,1707,532,1707,537,1707,541,1706,545,1699,552,1696,5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1426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First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Avenue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LLC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City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Seattle.</w:t>
      </w:r>
      <w:r>
        <w:rPr>
          <w:b/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Defended challenge to City of Seattle ordinance temporarily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extending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Pike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Place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Market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Historical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District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encompass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37"/>
          <w:sz w:val="19"/>
        </w:rPr>
        <w:t> </w:t>
      </w:r>
      <w:r>
        <w:rPr>
          <w:color w:val="6E6158"/>
          <w:sz w:val="19"/>
        </w:rPr>
        <w:t>historical</w:t>
      </w:r>
    </w:p>
    <w:p>
      <w:pPr>
        <w:pStyle w:val="BodyText"/>
        <w:spacing w:before="6"/>
      </w:pPr>
      <w:r>
        <w:rPr>
          <w:color w:val="6E6158"/>
        </w:rPr>
        <w:t>entertainment</w:t>
      </w:r>
      <w:r>
        <w:rPr>
          <w:color w:val="6E6158"/>
          <w:spacing w:val="16"/>
        </w:rPr>
        <w:t> </w:t>
      </w:r>
      <w:r>
        <w:rPr>
          <w:color w:val="6E6158"/>
        </w:rPr>
        <w:t>venue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Showbox</w:t>
      </w:r>
      <w:r>
        <w:rPr>
          <w:color w:val="6E6158"/>
          <w:spacing w:val="16"/>
        </w:rPr>
        <w:t> </w:t>
      </w:r>
      <w:r>
        <w:rPr>
          <w:color w:val="6E6158"/>
        </w:rPr>
        <w:t>Theater</w:t>
      </w:r>
      <w:r>
        <w:rPr>
          <w:color w:val="6E6158"/>
          <w:spacing w:val="17"/>
        </w:rPr>
        <w:t> </w:t>
      </w:r>
      <w:r>
        <w:rPr>
          <w:color w:val="6E6158"/>
        </w:rPr>
        <w:t>property;</w:t>
      </w:r>
      <w:r>
        <w:rPr>
          <w:color w:val="6E6158"/>
          <w:spacing w:val="17"/>
        </w:rPr>
        <w:t> </w:t>
      </w:r>
      <w:r>
        <w:rPr>
          <w:color w:val="6E6158"/>
        </w:rPr>
        <w:t>obtained</w:t>
      </w:r>
      <w:r>
        <w:rPr>
          <w:color w:val="6E6158"/>
          <w:spacing w:val="17"/>
        </w:rPr>
        <w:t> </w:t>
      </w:r>
      <w:r>
        <w:rPr>
          <w:color w:val="6E6158"/>
        </w:rPr>
        <w:t>favorable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settlement.</w:t>
      </w:r>
    </w:p>
    <w:p>
      <w:pPr>
        <w:pStyle w:val="BodyText"/>
        <w:spacing w:line="295" w:lineRule="auto" w:before="164"/>
        <w:ind w:right="6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355807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6317pt;width:1.65pt;height:1.65pt;mso-position-horizontal-relative:page;mso-position-vertical-relative:paragraph;z-index:15737344" id="docshape23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Weld v. Dawson, et al. </w:t>
      </w:r>
      <w:r>
        <w:rPr>
          <w:color w:val="6E6158"/>
        </w:rPr>
        <w:t>Defended claims for breach of fiduciary duty, minority shareholder oppression, and violations of Blue Sky laws against senior corporate officer; obtained </w:t>
      </w:r>
      <w:r>
        <w:rPr>
          <w:color w:val="6E6158"/>
        </w:rPr>
        <w:t>dismissal</w:t>
      </w:r>
      <w:r>
        <w:rPr>
          <w:color w:val="6E6158"/>
          <w:spacing w:val="80"/>
        </w:rPr>
        <w:t> </w:t>
      </w:r>
      <w:r>
        <w:rPr>
          <w:color w:val="6E6158"/>
        </w:rPr>
        <w:t>of all claims against client on motion to dismiss.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37856" id="docshape2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</w:t>
      </w:r>
      <w:r>
        <w:rPr>
          <w:color w:val="6E6158"/>
          <w:spacing w:val="16"/>
        </w:rPr>
        <w:t> </w:t>
      </w:r>
      <w:r>
        <w:rPr>
          <w:color w:val="6E6158"/>
        </w:rPr>
        <w:t>Super</w:t>
      </w:r>
      <w:r>
        <w:rPr>
          <w:color w:val="6E6158"/>
          <w:spacing w:val="17"/>
        </w:rPr>
        <w:t> </w:t>
      </w:r>
      <w:r>
        <w:rPr>
          <w:color w:val="6E6158"/>
        </w:rPr>
        <w:t>Lawyers,</w:t>
      </w:r>
      <w:r>
        <w:rPr>
          <w:color w:val="6E6158"/>
          <w:spacing w:val="17"/>
        </w:rPr>
        <w:t> </w:t>
      </w:r>
      <w:r>
        <w:rPr>
          <w:color w:val="6E6158"/>
        </w:rPr>
        <w:t>2019-</w:t>
      </w:r>
      <w:r>
        <w:rPr>
          <w:color w:val="6E6158"/>
          <w:spacing w:val="-4"/>
        </w:rPr>
        <w:t>2025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175045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13pt;width:1.65pt;height:1.65pt;mso-position-horizontal-relative:page;mso-position-vertical-relative:paragraph;z-index:15738368" id="docshape2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Wiley</w:t>
      </w:r>
      <w:r>
        <w:rPr>
          <w:color w:val="6E6158"/>
          <w:spacing w:val="8"/>
        </w:rPr>
        <w:t> </w:t>
      </w:r>
      <w:r>
        <w:rPr>
          <w:color w:val="6E6158"/>
        </w:rPr>
        <w:t>W.</w:t>
      </w:r>
      <w:r>
        <w:rPr>
          <w:color w:val="6E6158"/>
          <w:spacing w:val="8"/>
        </w:rPr>
        <w:t> </w:t>
      </w:r>
      <w:r>
        <w:rPr>
          <w:color w:val="6E6158"/>
        </w:rPr>
        <w:t>Manuel</w:t>
      </w:r>
      <w:r>
        <w:rPr>
          <w:color w:val="6E6158"/>
          <w:spacing w:val="9"/>
        </w:rPr>
        <w:t> </w:t>
      </w:r>
      <w:r>
        <w:rPr>
          <w:color w:val="6E6158"/>
        </w:rPr>
        <w:t>Pro</w:t>
      </w:r>
      <w:r>
        <w:rPr>
          <w:color w:val="6E6158"/>
          <w:spacing w:val="8"/>
        </w:rPr>
        <w:t> </w:t>
      </w:r>
      <w:r>
        <w:rPr>
          <w:color w:val="6E6158"/>
        </w:rPr>
        <w:t>Bono</w:t>
      </w:r>
      <w:r>
        <w:rPr>
          <w:color w:val="6E6158"/>
          <w:spacing w:val="8"/>
        </w:rPr>
        <w:t> </w:t>
      </w:r>
      <w:r>
        <w:rPr>
          <w:color w:val="6E6158"/>
        </w:rPr>
        <w:t>Services</w:t>
      </w:r>
      <w:r>
        <w:rPr>
          <w:color w:val="6E6158"/>
          <w:spacing w:val="9"/>
        </w:rPr>
        <w:t> </w:t>
      </w:r>
      <w:r>
        <w:rPr>
          <w:color w:val="6E6158"/>
        </w:rPr>
        <w:t>Award</w:t>
      </w:r>
      <w:r>
        <w:rPr>
          <w:color w:val="6E6158"/>
          <w:spacing w:val="8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California,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1993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88" w:lineRule="auto" w:before="136"/>
        <w:ind w:left="356" w:right="43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245565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5873pt;width:1.65pt;height:1.65pt;mso-position-horizontal-relative:page;mso-position-vertical-relative:paragraph;z-index:15738880" id="docshape26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Lead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Robert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Jackall,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From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Albert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Salomon: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Essays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Social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Thinkers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Newfound Press, University of Tennessee Libraries, 2019</w:t>
      </w:r>
    </w:p>
    <w:p>
      <w:pPr>
        <w:spacing w:line="297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239229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36985pt;width:1.65pt;height:1.65pt;mso-position-horizontal-relative:page;mso-position-vertical-relative:paragraph;z-index:15739392" id="docshape27" coordorigin="1675,377" coordsize="33,33" path="m1696,409l1687,409,1683,408,1676,401,1675,398,1675,389,1676,385,1683,378,1687,377,1696,377,1699,378,1706,385,1707,389,1707,393,1707,398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Robert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Jackall,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From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Joseph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Bensman: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Essays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Modern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Society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Newfound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Press, University of Tennessee Libraries, 2014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133999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51135pt;width:1.65pt;height:1.65pt;mso-position-horizontal-relative:page;mso-position-vertical-relative:paragraph;z-index:15739904" id="docshape28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Consciousness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Litigator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Michigan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Press,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2005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157784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984pt;width:1.65pt;height:1.65pt;mso-position-horizontal-relative:page;mso-position-vertical-relative:paragraph;z-index:15740416" id="docshape2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Association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Washington,</w:t>
      </w:r>
      <w:r>
        <w:rPr>
          <w:color w:val="6E6158"/>
          <w:spacing w:val="11"/>
        </w:rPr>
        <w:t> </w:t>
      </w:r>
      <w:r>
        <w:rPr>
          <w:color w:val="6E6158"/>
        </w:rPr>
        <w:t>2003-</w:t>
      </w:r>
      <w:r>
        <w:rPr>
          <w:color w:val="6E6158"/>
          <w:spacing w:val="-2"/>
        </w:rPr>
        <w:t>present</w:t>
      </w:r>
    </w:p>
    <w:p>
      <w:pPr>
        <w:pStyle w:val="BodyText"/>
        <w:spacing w:line="302" w:lineRule="auto" w:before="173"/>
        <w:ind w:right="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267890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779pt;width:1.65pt;height:1.65pt;mso-position-horizontal-relative:page;mso-position-vertical-relative:paragraph;z-index:15740928" id="docshape30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Court Rules and Procedures Committee, Washington State Bar Association, </w:t>
      </w:r>
      <w:r>
        <w:rPr>
          <w:color w:val="6E6158"/>
        </w:rPr>
        <w:t>2019- </w:t>
      </w:r>
      <w:r>
        <w:rPr>
          <w:color w:val="6E6158"/>
          <w:spacing w:val="-4"/>
        </w:rPr>
        <w:t>2023</w:t>
      </w:r>
    </w:p>
    <w:p>
      <w:pPr>
        <w:pStyle w:val="Heading1"/>
        <w:spacing w:before="275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157542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917pt;width:1.65pt;height:1.65pt;mso-position-horizontal-relative:page;mso-position-vertical-relative:paragraph;z-index:15741440" id="docshape3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415908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8669pt;width:1.65pt;height:1.65pt;mso-position-horizontal-relative:page;mso-position-vertical-relative:paragraph;z-index:15741952" id="docshape3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California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63823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447pt;width:1.65pt;height:1.65pt;mso-position-horizontal-relative:page;mso-position-vertical-relative:paragraph;z-index:15742464" id="docshape33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2"/>
        </w:rPr>
        <w:t> </w:t>
      </w:r>
      <w:r>
        <w:rPr>
          <w:color w:val="6E6158"/>
        </w:rPr>
        <w:t>Ninth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422" w:lineRule="auto" w:before="174"/>
        <w:ind w:right="36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169817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492pt;width:1.65pt;height:1.65pt;mso-position-horizontal-relative:page;mso-position-vertical-relative:paragraph;z-index:15742976" id="docshape3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433350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112pt;width:1.65pt;height:1.65pt;mso-position-horizontal-relative:page;mso-position-vertical-relative:paragraph;z-index:15743488" id="docshape3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691716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5855pt;width:1.65pt;height:1.65pt;mso-position-horizontal-relative:page;mso-position-vertical-relative:paragraph;z-index:15744000" id="docshape36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950082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09624pt;width:1.65pt;height:1.65pt;mso-position-horizontal-relative:page;mso-position-vertical-relative:paragraph;z-index:15744512" id="docshape37" coordorigin="1675,1496" coordsize="33,33" path="m1696,1529l1687,1529,1683,1527,1676,1521,1675,1517,1675,1508,1676,1504,1683,1498,1687,1496,1696,1496,1699,1498,1706,1504,1707,1508,1707,1512,1707,1517,1706,1521,1699,1527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</w:t>
      </w:r>
      <w:r>
        <w:rPr>
          <w:color w:val="6E6158"/>
        </w:rPr>
        <w:t>Washington United States District Court, Eastern District of Washington United States District Court, Northern District of California United States District Court, Central District of California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dgraham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2025-08-13T22:22:52Z</dcterms:created>
  <dcterms:modified xsi:type="dcterms:W3CDTF">2025-08-13T22:22:52Z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m117</vt:lpwstr>
  </property>
</Properties>
</file>