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EMILY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WARD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6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eward@fennemorelaw.com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1;top:2156;width:2808;height:505" id="docshape5" coordorigin="5761,2156" coordsize="2808,505" path="m8569,2653l5761,2653,5761,2661,8569,2661,8569,2653xm8569,2156l5761,2156,5761,2165,8569,2165,856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EMILY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WARD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76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eward@fennemorelaw.com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EMILY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WARD</w:t>
      </w:r>
    </w:p>
    <w:p>
      <w:pPr>
        <w:pStyle w:val="BodyText"/>
        <w:spacing w:line="297" w:lineRule="auto" w:before="147"/>
        <w:ind w:left="104" w:right="640"/>
      </w:pPr>
      <w:r>
        <w:rPr>
          <w:color w:val="6E6158"/>
        </w:rPr>
        <w:t>Emily Ward is a business litigation attorney focusing on complex and high-dollar business disputes</w:t>
      </w:r>
      <w:r>
        <w:rPr>
          <w:color w:val="6E6158"/>
          <w:spacing w:val="80"/>
        </w:rPr>
        <w:t> </w:t>
      </w:r>
      <w:r>
        <w:rPr>
          <w:color w:val="6E6158"/>
        </w:rPr>
        <w:t>in Arizona. She concentrates on business litigation, public policy, and appeals, litigating high-</w:t>
      </w:r>
      <w:r>
        <w:rPr>
          <w:color w:val="6E6158"/>
          <w:spacing w:val="40"/>
        </w:rPr>
        <w:t> </w:t>
      </w:r>
      <w:r>
        <w:rPr>
          <w:color w:val="6E6158"/>
        </w:rPr>
        <w:t>stakes</w:t>
      </w:r>
      <w:r>
        <w:rPr>
          <w:color w:val="6E6158"/>
          <w:spacing w:val="27"/>
        </w:rPr>
        <w:t> </w:t>
      </w:r>
      <w:r>
        <w:rPr>
          <w:color w:val="6E6158"/>
        </w:rPr>
        <w:t>cases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both</w:t>
      </w:r>
      <w:r>
        <w:rPr>
          <w:color w:val="6E6158"/>
          <w:spacing w:val="27"/>
        </w:rPr>
        <w:t> </w:t>
      </w:r>
      <w:r>
        <w:rPr>
          <w:color w:val="6E6158"/>
        </w:rPr>
        <w:t>plaintiffs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defendants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federal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courts</w:t>
      </w:r>
      <w:r>
        <w:rPr>
          <w:color w:val="6E6158"/>
          <w:spacing w:val="27"/>
        </w:rPr>
        <w:t> </w:t>
      </w:r>
      <w:r>
        <w:rPr>
          <w:color w:val="6E6158"/>
        </w:rPr>
        <w:t>across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country.</w:t>
      </w:r>
    </w:p>
    <w:p>
      <w:pPr>
        <w:pStyle w:val="BodyText"/>
        <w:spacing w:line="297" w:lineRule="auto" w:before="0"/>
        <w:ind w:left="104" w:right="640"/>
      </w:pPr>
      <w:r>
        <w:rPr>
          <w:color w:val="6E6158"/>
        </w:rPr>
        <w:t>Emily has extensive experience litigating and trying all kinds of cases and has a track record of</w:t>
      </w:r>
      <w:r>
        <w:rPr>
          <w:color w:val="6E6158"/>
          <w:spacing w:val="40"/>
        </w:rPr>
        <w:t> </w:t>
      </w:r>
      <w:r>
        <w:rPr>
          <w:color w:val="6E6158"/>
        </w:rPr>
        <w:t>winning even the most challenging cases before trial on motion or, when necessary, following a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5" w:lineRule="auto" w:before="187"/>
        <w:ind w:left="104" w:right="740"/>
      </w:pPr>
      <w:r>
        <w:rPr>
          <w:color w:val="6E6158"/>
        </w:rPr>
        <w:t>As a trial lawyer, Emily is known for her ability to simplify complicated issues and build persuasive</w:t>
      </w:r>
      <w:r>
        <w:rPr>
          <w:color w:val="6E6158"/>
          <w:spacing w:val="40"/>
        </w:rPr>
        <w:t> </w:t>
      </w:r>
      <w:r>
        <w:rPr>
          <w:color w:val="6E6158"/>
        </w:rPr>
        <w:t>narratives in the courtroom. She knows that in today’s world: a picture says a thousand words.</w:t>
      </w:r>
      <w:r>
        <w:rPr>
          <w:color w:val="6E6158"/>
          <w:spacing w:val="80"/>
        </w:rPr>
        <w:t> </w:t>
      </w:r>
      <w:r>
        <w:rPr>
          <w:color w:val="6E6158"/>
        </w:rPr>
        <w:t>She has a particular creative talent for designing compelling visual presentations that bring her</w:t>
      </w:r>
      <w:r>
        <w:rPr>
          <w:color w:val="6E6158"/>
          <w:spacing w:val="40"/>
        </w:rPr>
        <w:t> </w:t>
      </w:r>
      <w:r>
        <w:rPr>
          <w:color w:val="6E6158"/>
        </w:rPr>
        <w:t>clients’</w:t>
      </w:r>
      <w:r>
        <w:rPr>
          <w:color w:val="6E6158"/>
          <w:spacing w:val="26"/>
        </w:rPr>
        <w:t> </w:t>
      </w:r>
      <w:r>
        <w:rPr>
          <w:color w:val="6E6158"/>
        </w:rPr>
        <w:t>positions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life,</w:t>
      </w:r>
      <w:r>
        <w:rPr>
          <w:color w:val="6E6158"/>
          <w:spacing w:val="26"/>
        </w:rPr>
        <w:t> </w:t>
      </w:r>
      <w:r>
        <w:rPr>
          <w:color w:val="6E6158"/>
        </w:rPr>
        <w:t>helping</w:t>
      </w:r>
      <w:r>
        <w:rPr>
          <w:color w:val="6E6158"/>
          <w:spacing w:val="26"/>
        </w:rPr>
        <w:t> </w:t>
      </w:r>
      <w:r>
        <w:rPr>
          <w:color w:val="6E6158"/>
        </w:rPr>
        <w:t>judges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juries</w:t>
      </w:r>
      <w:r>
        <w:rPr>
          <w:color w:val="6E6158"/>
          <w:spacing w:val="26"/>
        </w:rPr>
        <w:t> </w:t>
      </w:r>
      <w:r>
        <w:rPr>
          <w:color w:val="6E6158"/>
        </w:rPr>
        <w:t>clearly</w:t>
      </w:r>
      <w:r>
        <w:rPr>
          <w:color w:val="6E6158"/>
          <w:spacing w:val="26"/>
        </w:rPr>
        <w:t> </w:t>
      </w:r>
      <w:r>
        <w:rPr>
          <w:color w:val="6E6158"/>
        </w:rPr>
        <w:t>see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story</w:t>
      </w:r>
      <w:r>
        <w:rPr>
          <w:color w:val="6E6158"/>
          <w:spacing w:val="26"/>
        </w:rPr>
        <w:t> </w:t>
      </w:r>
      <w:r>
        <w:rPr>
          <w:color w:val="6E6158"/>
        </w:rPr>
        <w:t>behind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case.</w:t>
      </w:r>
    </w:p>
    <w:p>
      <w:pPr>
        <w:pStyle w:val="BodyText"/>
        <w:spacing w:line="295" w:lineRule="auto" w:before="197"/>
        <w:ind w:left="104" w:right="640"/>
      </w:pPr>
      <w:r>
        <w:rPr>
          <w:color w:val="6E6158"/>
        </w:rPr>
        <w:t>Emily has earned recognition in Super Lawyers® from 2023 to 2025 and was named a Rising Star</w:t>
      </w:r>
      <w:r>
        <w:rPr>
          <w:color w:val="6E6158"/>
          <w:spacing w:val="40"/>
        </w:rPr>
        <w:t> </w:t>
      </w:r>
      <w:r>
        <w:rPr>
          <w:color w:val="6E6158"/>
        </w:rPr>
        <w:t>from 2016–2022. Chambers also recognized her as an “Up and Coming” attorney in Appellate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2022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2023.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2022,</w:t>
      </w:r>
      <w:r>
        <w:rPr>
          <w:color w:val="6E6158"/>
          <w:spacing w:val="19"/>
        </w:rPr>
        <w:t> </w:t>
      </w:r>
      <w:r>
        <w:rPr>
          <w:color w:val="6E6158"/>
        </w:rPr>
        <w:t>she</w:t>
      </w:r>
      <w:r>
        <w:rPr>
          <w:color w:val="6E6158"/>
          <w:spacing w:val="19"/>
        </w:rPr>
        <w:t> </w:t>
      </w:r>
      <w:r>
        <w:rPr>
          <w:color w:val="6E6158"/>
        </w:rPr>
        <w:t>was</w:t>
      </w:r>
      <w:r>
        <w:rPr>
          <w:color w:val="6E6158"/>
          <w:spacing w:val="19"/>
        </w:rPr>
        <w:t> </w:t>
      </w:r>
      <w:hyperlink r:id="rId11">
        <w:r>
          <w:rPr>
            <w:color w:val="F5821F"/>
          </w:rPr>
          <w:t>featured</w:t>
        </w:r>
      </w:hyperlink>
      <w:r>
        <w:rPr>
          <w:color w:val="F5821F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Phoenix</w:t>
      </w:r>
      <w:r>
        <w:rPr>
          <w:color w:val="6E6158"/>
          <w:spacing w:val="19"/>
        </w:rPr>
        <w:t> </w:t>
      </w:r>
      <w:r>
        <w:rPr>
          <w:color w:val="6E6158"/>
        </w:rPr>
        <w:t>Magazine’s</w:t>
      </w:r>
      <w:r>
        <w:rPr>
          <w:color w:val="6E6158"/>
          <w:spacing w:val="19"/>
        </w:rPr>
        <w:t> </w:t>
      </w:r>
      <w:r>
        <w:rPr>
          <w:color w:val="6E6158"/>
        </w:rPr>
        <w:t>Top</w:t>
      </w:r>
      <w:r>
        <w:rPr>
          <w:color w:val="6E6158"/>
          <w:spacing w:val="19"/>
        </w:rPr>
        <w:t> </w:t>
      </w:r>
      <w:r>
        <w:rPr>
          <w:color w:val="6E6158"/>
        </w:rPr>
        <w:t>Lawyer’s</w:t>
      </w:r>
      <w:r>
        <w:rPr>
          <w:color w:val="6E6158"/>
          <w:spacing w:val="19"/>
        </w:rPr>
        <w:t> </w:t>
      </w:r>
      <w:r>
        <w:rPr>
          <w:color w:val="6E6158"/>
        </w:rPr>
        <w:t>issue for</w:t>
      </w:r>
      <w:r>
        <w:rPr>
          <w:color w:val="6E6158"/>
          <w:spacing w:val="23"/>
        </w:rPr>
        <w:t> </w:t>
      </w:r>
      <w:r>
        <w:rPr>
          <w:color w:val="6E6158"/>
        </w:rPr>
        <w:t>her</w:t>
      </w:r>
      <w:r>
        <w:rPr>
          <w:color w:val="6E6158"/>
          <w:spacing w:val="23"/>
        </w:rPr>
        <w:t> </w:t>
      </w:r>
      <w:r>
        <w:rPr>
          <w:color w:val="6E6158"/>
        </w:rPr>
        <w:t>trial</w:t>
      </w:r>
      <w:r>
        <w:rPr>
          <w:color w:val="6E6158"/>
          <w:spacing w:val="23"/>
        </w:rPr>
        <w:t> </w:t>
      </w:r>
      <w:r>
        <w:rPr>
          <w:color w:val="6E6158"/>
        </w:rPr>
        <w:t>work,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2024,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received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Phoenix</w:t>
      </w:r>
      <w:r>
        <w:rPr>
          <w:color w:val="6E6158"/>
          <w:spacing w:val="23"/>
        </w:rPr>
        <w:t> </w:t>
      </w:r>
      <w:r>
        <w:rPr>
          <w:color w:val="6E6158"/>
        </w:rPr>
        <w:t>Business</w:t>
      </w:r>
      <w:r>
        <w:rPr>
          <w:color w:val="6E6158"/>
          <w:spacing w:val="23"/>
        </w:rPr>
        <w:t> </w:t>
      </w:r>
      <w:r>
        <w:rPr>
          <w:color w:val="6E6158"/>
        </w:rPr>
        <w:t>Journal’s</w:t>
      </w:r>
      <w:r>
        <w:rPr>
          <w:color w:val="6E6158"/>
          <w:spacing w:val="23"/>
        </w:rPr>
        <w:t> </w:t>
      </w:r>
      <w:hyperlink r:id="rId12">
        <w:r>
          <w:rPr>
            <w:color w:val="F5821F"/>
          </w:rPr>
          <w:t>40</w:t>
        </w:r>
        <w:r>
          <w:rPr>
            <w:color w:val="F5821F"/>
            <w:spacing w:val="23"/>
          </w:rPr>
          <w:t> </w:t>
        </w:r>
        <w:r>
          <w:rPr>
            <w:color w:val="F5821F"/>
          </w:rPr>
          <w:t>Under</w:t>
        </w:r>
        <w:r>
          <w:rPr>
            <w:color w:val="F5821F"/>
            <w:spacing w:val="23"/>
          </w:rPr>
          <w:t> </w:t>
        </w:r>
        <w:r>
          <w:rPr>
            <w:color w:val="F5821F"/>
          </w:rPr>
          <w:t>40</w:t>
        </w:r>
        <w:r>
          <w:rPr>
            <w:color w:val="F5821F"/>
            <w:spacing w:val="23"/>
          </w:rPr>
          <w:t> </w:t>
        </w:r>
        <w:r>
          <w:rPr>
            <w:color w:val="F5821F"/>
          </w:rPr>
          <w:t>Award</w:t>
        </w:r>
      </w:hyperlink>
      <w:r>
        <w:rPr>
          <w:color w:val="6E6158"/>
        </w:rPr>
        <w:t>.</w:t>
      </w:r>
    </w:p>
    <w:p>
      <w:pPr>
        <w:pStyle w:val="BodyText"/>
        <w:spacing w:before="196"/>
        <w:ind w:left="104"/>
      </w:pP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work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been</w:t>
      </w:r>
      <w:r>
        <w:rPr>
          <w:color w:val="6E6158"/>
          <w:spacing w:val="11"/>
        </w:rPr>
        <w:t> </w:t>
      </w:r>
      <w:r>
        <w:rPr>
          <w:color w:val="6E6158"/>
        </w:rPr>
        <w:t>featured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ABC15,</w:t>
      </w:r>
      <w:r>
        <w:rPr>
          <w:color w:val="6E6158"/>
          <w:spacing w:val="10"/>
        </w:rPr>
        <w:t> </w:t>
      </w:r>
      <w:hyperlink r:id="rId13">
        <w:r>
          <w:rPr>
            <w:color w:val="F5821F"/>
          </w:rPr>
          <w:t>Fox10</w:t>
        </w:r>
      </w:hyperlink>
      <w:r>
        <w:rPr>
          <w:color w:val="6E6158"/>
        </w:rPr>
        <w:t>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F5821F"/>
          <w:spacing w:val="-4"/>
        </w:rPr>
        <w:t>3TV</w:t>
      </w:r>
      <w:r>
        <w:rPr>
          <w:color w:val="6E6158"/>
          <w:spacing w:val="-4"/>
        </w:rPr>
        <w:t>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0"/>
        <w:ind w:left="104" w:right="640"/>
      </w:pPr>
      <w:r>
        <w:rPr>
          <w:color w:val="6E6158"/>
        </w:rPr>
        <w:t>Emily serves on the Greater Phoenix Chambers Board of Directors, one of the largest and most</w:t>
      </w:r>
      <w:r>
        <w:rPr>
          <w:color w:val="6E6158"/>
          <w:spacing w:val="40"/>
        </w:rPr>
        <w:t> </w:t>
      </w:r>
      <w:r>
        <w:rPr>
          <w:color w:val="6E6158"/>
        </w:rPr>
        <w:t>influential business organizations in Arizona. In this role, she works with business and community</w:t>
      </w:r>
      <w:r>
        <w:rPr>
          <w:color w:val="6E6158"/>
          <w:spacing w:val="40"/>
        </w:rPr>
        <w:t> </w:t>
      </w:r>
      <w:r>
        <w:rPr>
          <w:color w:val="6E6158"/>
        </w:rPr>
        <w:t>leaders to promote economic growth, advocate for pro-business policies, and strengthen the</w:t>
      </w:r>
      <w:r>
        <w:rPr>
          <w:color w:val="6E6158"/>
          <w:spacing w:val="40"/>
        </w:rPr>
        <w:t> </w:t>
      </w:r>
      <w:r>
        <w:rPr>
          <w:color w:val="6E6158"/>
        </w:rPr>
        <w:t>region’s position as a thriving hub for innovation and opportunity.</w:t>
      </w:r>
      <w:r>
        <w:rPr>
          <w:color w:val="6E6158"/>
          <w:spacing w:val="78"/>
        </w:rPr>
        <w:t> </w:t>
      </w:r>
      <w:r>
        <w:rPr>
          <w:color w:val="6E6158"/>
        </w:rPr>
        <w:t>Emily also serves on the Board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Directors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Ronald</w:t>
      </w:r>
      <w:r>
        <w:rPr>
          <w:color w:val="6E6158"/>
          <w:spacing w:val="32"/>
        </w:rPr>
        <w:t> </w:t>
      </w:r>
      <w:r>
        <w:rPr>
          <w:color w:val="6E6158"/>
        </w:rPr>
        <w:t>McDonald</w:t>
      </w:r>
      <w:r>
        <w:rPr>
          <w:color w:val="6E6158"/>
          <w:spacing w:val="32"/>
        </w:rPr>
        <w:t> </w:t>
      </w:r>
      <w:r>
        <w:rPr>
          <w:color w:val="6E6158"/>
        </w:rPr>
        <w:t>House</w:t>
      </w:r>
      <w:r>
        <w:rPr>
          <w:color w:val="6E6158"/>
          <w:spacing w:val="32"/>
        </w:rPr>
        <w:t> </w:t>
      </w:r>
      <w:r>
        <w:rPr>
          <w:color w:val="6E6158"/>
        </w:rPr>
        <w:t>Charities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Central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Northern</w:t>
      </w:r>
      <w:r>
        <w:rPr>
          <w:color w:val="6E6158"/>
          <w:spacing w:val="32"/>
        </w:rPr>
        <w:t> </w:t>
      </w:r>
      <w:r>
        <w:rPr>
          <w:color w:val="6E6158"/>
        </w:rPr>
        <w:t>Arizona,</w:t>
      </w:r>
      <w:r>
        <w:rPr>
          <w:color w:val="6E6158"/>
          <w:spacing w:val="32"/>
        </w:rPr>
        <w:t> </w:t>
      </w:r>
      <w:r>
        <w:rPr>
          <w:color w:val="6E6158"/>
        </w:rPr>
        <w:t>which provides housing, meals, and support to families traveling to Phoenix for their children’s medical</w:t>
      </w:r>
      <w:r>
        <w:rPr>
          <w:color w:val="6E6158"/>
          <w:spacing w:val="40"/>
        </w:rPr>
        <w:t> </w:t>
      </w:r>
      <w:r>
        <w:rPr>
          <w:color w:val="6E6158"/>
        </w:rPr>
        <w:t>care. In this role, she helps advance the organization’s mission of keeping families together and</w:t>
      </w:r>
      <w:r>
        <w:rPr>
          <w:color w:val="6E6158"/>
          <w:spacing w:val="40"/>
        </w:rPr>
        <w:t> </w:t>
      </w:r>
      <w:r>
        <w:rPr>
          <w:color w:val="6E6158"/>
        </w:rPr>
        <w:t>supported during some of their most challenging times.</w:t>
      </w:r>
    </w:p>
    <w:p>
      <w:pPr>
        <w:pStyle w:val="BodyText"/>
        <w:spacing w:line="292" w:lineRule="auto" w:before="206"/>
        <w:ind w:left="104" w:right="740"/>
      </w:pPr>
      <w:r>
        <w:rPr>
          <w:color w:val="6E6158"/>
        </w:rPr>
        <w:t>When she’s not working, Emily enjoys happy hour at Buck &amp; Rider with her husband, Mike, or</w:t>
      </w:r>
      <w:r>
        <w:rPr>
          <w:color w:val="6E6158"/>
          <w:spacing w:val="40"/>
        </w:rPr>
        <w:t> </w:t>
      </w:r>
      <w:r>
        <w:rPr>
          <w:color w:val="6E6158"/>
        </w:rPr>
        <w:t>going on a Target run with her two girls, Violet and Daphne.</w:t>
      </w:r>
    </w:p>
    <w:p>
      <w:pPr>
        <w:pStyle w:val="Heading2"/>
        <w:spacing w:before="163"/>
      </w:pPr>
      <w:r>
        <w:rPr>
          <w:color w:val="FF8100"/>
          <w:spacing w:val="-2"/>
        </w:rPr>
        <w:t>EDUCATION</w:t>
      </w:r>
    </w:p>
    <w:p>
      <w:pPr>
        <w:spacing w:line="398" w:lineRule="auto" w:before="136"/>
        <w:ind w:left="356" w:right="174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157648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264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416013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008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summa cum laude, </w:t>
      </w:r>
      <w:r>
        <w:rPr>
          <w:color w:val="6E6158"/>
          <w:sz w:val="19"/>
        </w:rPr>
        <w:t>University of Arizona, James E. Rogers College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B.A., </w:t>
      </w:r>
      <w:r>
        <w:rPr>
          <w:i/>
          <w:color w:val="6E6158"/>
          <w:sz w:val="20"/>
        </w:rPr>
        <w:t>summa cum laude, </w:t>
      </w:r>
      <w:r>
        <w:rPr>
          <w:color w:val="6E6158"/>
          <w:sz w:val="19"/>
        </w:rPr>
        <w:t>University of Arizona</w:t>
      </w:r>
    </w:p>
    <w:p>
      <w:pPr>
        <w:spacing w:after="0" w:line="398" w:lineRule="auto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spacing w:before="213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 w:before="0"/>
        <w:ind w:right="77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688" id="docshape10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1200" id="docshape11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581447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3264pt;width:1.65pt;height:1.65pt;mso-position-horizontal-relative:page;mso-position-vertical-relative:paragraph;z-index:15731712" id="docshape12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Appellate </w:t>
      </w:r>
      <w:r>
        <w:rPr>
          <w:color w:val="6E6158"/>
        </w:rPr>
        <w:t>Business</w:t>
      </w:r>
      <w:r>
        <w:rPr>
          <w:color w:val="6E6158"/>
          <w:spacing w:val="-14"/>
        </w:rPr>
        <w:t> </w:t>
      </w:r>
      <w:r>
        <w:rPr>
          <w:color w:val="6E6158"/>
        </w:rPr>
        <w:t>Torts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63202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6562pt;width:1.65pt;height:1.65pt;mso-position-horizontal-relative:page;mso-position-vertical-relative:paragraph;z-index:15732224" id="docshape13" coordorigin="1675,100" coordsize="33,33" path="m1696,132l1687,132,1683,130,1676,124,1675,120,1675,111,1676,107,1683,101,1687,100,1696,100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64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431505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976822pt;width:1.65pt;height:1.65pt;mso-position-horizontal-relative:page;mso-position-vertical-relative:paragraph;z-index:15732736" id="docshape14" coordorigin="1675,680" coordsize="33,33" path="m1696,712l1687,712,1683,710,1676,704,1675,700,1675,691,1676,687,1683,681,1687,680,1696,680,1699,681,1706,687,1707,691,1707,696,1707,700,1706,704,1699,710,1696,7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the constitutionality of a tax on the business of leasing vehicles </w:t>
      </w:r>
      <w:r>
        <w:rPr>
          <w:color w:val="6E6158"/>
        </w:rPr>
        <w:t>against</w:t>
      </w:r>
      <w:r>
        <w:rPr>
          <w:color w:val="6E6158"/>
          <w:spacing w:val="40"/>
        </w:rPr>
        <w:t> </w:t>
      </w:r>
      <w:r>
        <w:rPr>
          <w:color w:val="6E6158"/>
        </w:rPr>
        <w:t>challenges under the Dormant Commerce Clause of the U.S. Constitution and the Anti-</w:t>
      </w:r>
      <w:r>
        <w:rPr>
          <w:color w:val="6E6158"/>
          <w:spacing w:val="40"/>
        </w:rPr>
        <w:t> </w:t>
      </w:r>
      <w:r>
        <w:rPr>
          <w:color w:val="6E6158"/>
        </w:rPr>
        <w:t>Diversion provision of the Arizona Constitution. </w:t>
      </w:r>
      <w:r>
        <w:rPr>
          <w:i/>
          <w:color w:val="6E6158"/>
          <w:sz w:val="20"/>
        </w:rPr>
        <w:t>Saban Rent-A Car LLC v. Ariz. Dep’t of</w:t>
      </w:r>
    </w:p>
    <w:p>
      <w:pPr>
        <w:spacing w:line="230" w:lineRule="exact" w:before="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Revenue,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246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Ariz.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89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(2019)</w:t>
      </w:r>
    </w:p>
    <w:p>
      <w:pPr>
        <w:pStyle w:val="BodyText"/>
        <w:spacing w:line="290" w:lineRule="auto" w:before="172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447836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62726pt;width:1.65pt;height:1.65pt;mso-position-horizontal-relative:page;mso-position-vertical-relative:paragraph;z-index:15733248" id="docshape15" coordorigin="1675,705" coordsize="33,33" path="m1696,738l1687,738,1683,736,1676,730,1675,726,1675,717,1676,713,1683,707,1687,705,1696,705,1699,707,1706,713,1707,717,1707,722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State of Arizona and Secretary of State in action brought by advocacy group</w:t>
      </w:r>
      <w:r>
        <w:rPr>
          <w:color w:val="6E6158"/>
          <w:spacing w:val="40"/>
        </w:rPr>
        <w:t> </w:t>
      </w:r>
      <w:r>
        <w:rPr>
          <w:color w:val="6E6158"/>
        </w:rPr>
        <w:t>challenging campaign finance laws and received favorable ruling against Voter </w:t>
      </w:r>
      <w:r>
        <w:rPr>
          <w:color w:val="6E6158"/>
        </w:rPr>
        <w:t>Protection Act challenge. </w:t>
      </w:r>
      <w:r>
        <w:rPr>
          <w:i/>
          <w:color w:val="6E6158"/>
          <w:sz w:val="20"/>
        </w:rPr>
        <w:t>Arizona Advocacy Network Found. v. State</w:t>
      </w:r>
      <w:r>
        <w:rPr>
          <w:color w:val="6E6158"/>
        </w:rPr>
        <w:t>, 250 Ariz. 109 (App. 2020), as amended (Nov. 9, 2020)</w:t>
      </w:r>
    </w:p>
    <w:p>
      <w:pPr>
        <w:pStyle w:val="BodyText"/>
        <w:spacing w:line="292" w:lineRule="auto" w:before="127"/>
        <w:ind w:right="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233312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1056pt;width:1.65pt;height:1.65pt;mso-position-horizontal-relative:page;mso-position-vertical-relative:paragraph;z-index:15733760" id="docshape16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victory on summary judgment against a challenge to Arizona’s ESA </w:t>
      </w:r>
      <w:r>
        <w:rPr>
          <w:color w:val="6E6158"/>
        </w:rPr>
        <w:t>program brought by public interest group.</w:t>
      </w:r>
    </w:p>
    <w:p>
      <w:pPr>
        <w:pStyle w:val="BodyText"/>
        <w:spacing w:line="292" w:lineRule="auto" w:before="132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236117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902pt;width:1.65pt;height:1.65pt;mso-position-horizontal-relative:page;mso-position-vertical-relative:paragraph;z-index:15734272" id="docshape1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multi-million-dollar settlement for breach of contract against prominent </w:t>
      </w:r>
      <w:r>
        <w:rPr>
          <w:color w:val="6E6158"/>
        </w:rPr>
        <w:t>network marketing company</w:t>
      </w:r>
    </w:p>
    <w:p>
      <w:pPr>
        <w:pStyle w:val="BodyText"/>
        <w:spacing w:line="297" w:lineRule="auto" w:before="12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323591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9622pt;width:1.65pt;height:1.65pt;mso-position-horizontal-relative:page;mso-position-vertical-relative:paragraph;z-index:15734784" id="docshape18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large</w:t>
      </w:r>
      <w:r>
        <w:rPr>
          <w:color w:val="6E6158"/>
          <w:spacing w:val="30"/>
        </w:rPr>
        <w:t> </w:t>
      </w:r>
      <w:r>
        <w:rPr>
          <w:color w:val="6E6158"/>
        </w:rPr>
        <w:t>solid</w:t>
      </w:r>
      <w:r>
        <w:rPr>
          <w:color w:val="6E6158"/>
          <w:spacing w:val="30"/>
        </w:rPr>
        <w:t> </w:t>
      </w:r>
      <w:r>
        <w:rPr>
          <w:color w:val="6E6158"/>
        </w:rPr>
        <w:t>waste</w:t>
      </w:r>
      <w:r>
        <w:rPr>
          <w:color w:val="6E6158"/>
          <w:spacing w:val="30"/>
        </w:rPr>
        <w:t> </w:t>
      </w:r>
      <w:r>
        <w:rPr>
          <w:color w:val="6E6158"/>
        </w:rPr>
        <w:t>company</w:t>
      </w:r>
      <w:r>
        <w:rPr>
          <w:color w:val="6E6158"/>
          <w:spacing w:val="30"/>
        </w:rPr>
        <w:t> </w:t>
      </w:r>
      <w:r>
        <w:rPr>
          <w:color w:val="6E6158"/>
        </w:rPr>
        <w:t>against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national</w:t>
      </w:r>
      <w:r>
        <w:rPr>
          <w:color w:val="6E6158"/>
          <w:spacing w:val="30"/>
        </w:rPr>
        <w:t> </w:t>
      </w:r>
      <w:r>
        <w:rPr>
          <w:color w:val="6E6158"/>
        </w:rPr>
        <w:t>landfill</w:t>
      </w:r>
      <w:r>
        <w:rPr>
          <w:color w:val="6E6158"/>
          <w:spacing w:val="30"/>
        </w:rPr>
        <w:t> </w:t>
      </w:r>
      <w:r>
        <w:rPr>
          <w:color w:val="6E6158"/>
        </w:rPr>
        <w:t>gas</w:t>
      </w:r>
      <w:r>
        <w:rPr>
          <w:color w:val="6E6158"/>
          <w:spacing w:val="30"/>
        </w:rPr>
        <w:t> </w:t>
      </w:r>
      <w:r>
        <w:rPr>
          <w:color w:val="6E6158"/>
        </w:rPr>
        <w:t>producer.</w:t>
      </w:r>
      <w:r>
        <w:rPr>
          <w:color w:val="6E6158"/>
          <w:spacing w:val="30"/>
        </w:rPr>
        <w:t> </w:t>
      </w:r>
      <w:r>
        <w:rPr>
          <w:color w:val="6E6158"/>
        </w:rPr>
        <w:t>The dispute involved a dispute over license fees and royalties from two landfills.</w:t>
      </w:r>
      <w:r>
        <w:rPr>
          <w:color w:val="6E6158"/>
          <w:spacing w:val="80"/>
        </w:rPr>
        <w:t> </w:t>
      </w:r>
      <w:r>
        <w:rPr>
          <w:color w:val="6E6158"/>
        </w:rPr>
        <w:t>Forced extremely favorable settlement for client.</w:t>
      </w:r>
    </w:p>
    <w:p>
      <w:pPr>
        <w:pStyle w:val="BodyText"/>
        <w:spacing w:line="297" w:lineRule="auto" w:before="118"/>
        <w:ind w:right="5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320446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2029pt;width:1.65pt;height:1.65pt;mso-position-horizontal-relative:page;mso-position-vertical-relative:paragraph;z-index:15735296" id="docshape19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First-chaired bench trial representing commercial tenants at in a 6-day trial against prominent Phoenix landlord regarding common-area expenses and obtained a ruling awarding tenants</w:t>
      </w:r>
      <w:r>
        <w:rPr>
          <w:color w:val="6E6158"/>
          <w:spacing w:val="80"/>
        </w:rPr>
        <w:t> </w:t>
      </w:r>
      <w:r>
        <w:rPr>
          <w:color w:val="6E6158"/>
        </w:rPr>
        <w:t>all improperly assessed costs and attorneys’ fees</w:t>
      </w:r>
    </w:p>
    <w:p>
      <w:pPr>
        <w:pStyle w:val="BodyText"/>
        <w:spacing w:line="292" w:lineRule="auto" w:before="118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227465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0692pt;width:1.65pt;height:1.65pt;mso-position-horizontal-relative:page;mso-position-vertical-relative:paragraph;z-index:15735808" id="docshape20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before Arizona Court of Appeals on scope of notice required for premises liability</w:t>
      </w:r>
      <w:r>
        <w:rPr>
          <w:color w:val="6E6158"/>
          <w:spacing w:val="40"/>
        </w:rPr>
        <w:t> </w:t>
      </w:r>
      <w:r>
        <w:rPr>
          <w:color w:val="6E6158"/>
        </w:rPr>
        <w:t>action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obtained</w:t>
      </w:r>
      <w:r>
        <w:rPr>
          <w:color w:val="6E6158"/>
          <w:spacing w:val="36"/>
        </w:rPr>
        <w:t> </w:t>
      </w:r>
      <w:r>
        <w:rPr>
          <w:color w:val="6E6158"/>
        </w:rPr>
        <w:t>judgment</w:t>
      </w:r>
      <w:r>
        <w:rPr>
          <w:color w:val="6E6158"/>
          <w:spacing w:val="36"/>
        </w:rPr>
        <w:t> </w:t>
      </w:r>
      <w:r>
        <w:rPr>
          <w:color w:val="6E6158"/>
        </w:rPr>
        <w:t>reversing</w:t>
      </w:r>
      <w:r>
        <w:rPr>
          <w:color w:val="6E6158"/>
          <w:spacing w:val="36"/>
        </w:rPr>
        <w:t> </w:t>
      </w:r>
      <w:r>
        <w:rPr>
          <w:color w:val="6E6158"/>
        </w:rPr>
        <w:t>trial</w:t>
      </w:r>
      <w:r>
        <w:rPr>
          <w:color w:val="6E6158"/>
          <w:spacing w:val="36"/>
        </w:rPr>
        <w:t> </w:t>
      </w:r>
      <w:r>
        <w:rPr>
          <w:color w:val="6E6158"/>
        </w:rPr>
        <w:t>court’s</w:t>
      </w:r>
      <w:r>
        <w:rPr>
          <w:color w:val="6E6158"/>
          <w:spacing w:val="36"/>
        </w:rPr>
        <w:t> </w:t>
      </w:r>
      <w:r>
        <w:rPr>
          <w:color w:val="6E6158"/>
        </w:rPr>
        <w:t>grant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summary</w:t>
      </w:r>
      <w:r>
        <w:rPr>
          <w:color w:val="6E6158"/>
          <w:spacing w:val="36"/>
        </w:rPr>
        <w:t> </w:t>
      </w:r>
      <w:r>
        <w:rPr>
          <w:color w:val="6E6158"/>
        </w:rPr>
        <w:t>judgment.</w:t>
      </w:r>
    </w:p>
    <w:p>
      <w:pPr>
        <w:pStyle w:val="BodyText"/>
        <w:spacing w:line="302" w:lineRule="auto" w:before="12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547pt;width:1.65pt;height:1.65pt;mso-position-horizontal-relative:page;mso-position-vertical-relative:paragraph;z-index:15736320" id="docshape2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helped obtain multi-million-dollar settlement for breach of contract </w:t>
      </w:r>
      <w:r>
        <w:rPr>
          <w:color w:val="6E6158"/>
        </w:rPr>
        <w:t>against prominent multi-level marketing company.</w:t>
      </w:r>
    </w:p>
    <w:p>
      <w:pPr>
        <w:pStyle w:val="BodyText"/>
        <w:spacing w:line="292" w:lineRule="auto" w:before="11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224328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689pt;width:1.65pt;height:1.65pt;mso-position-horizontal-relative:page;mso-position-vertical-relative:paragraph;z-index:15736832" id="docshape2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Argued that subcontractor had contractual duty to defend and obtained favorable </w:t>
      </w:r>
      <w:r>
        <w:rPr>
          <w:color w:val="6E6158"/>
        </w:rPr>
        <w:t>ruling</w:t>
      </w:r>
      <w:r>
        <w:rPr>
          <w:color w:val="6E6158"/>
          <w:spacing w:val="40"/>
        </w:rPr>
        <w:t> </w:t>
      </w:r>
      <w:r>
        <w:rPr>
          <w:color w:val="6E6158"/>
        </w:rPr>
        <w:t>requiring subcontractor to pay all attorneys’ fees and costs.</w:t>
      </w:r>
    </w:p>
    <w:p>
      <w:pPr>
        <w:pStyle w:val="BodyText"/>
        <w:spacing w:line="302" w:lineRule="auto" w:before="123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236023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543pt;width:1.65pt;height:1.65pt;mso-position-horizontal-relative:page;mso-position-vertical-relative:paragraph;z-index:15737344" id="docshape2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dermatopathologist against former practice for breach of </w:t>
      </w:r>
      <w:r>
        <w:rPr>
          <w:color w:val="6E6158"/>
        </w:rPr>
        <w:t>employment agreement and achieved very favorable settlement</w:t>
      </w:r>
    </w:p>
    <w:p>
      <w:pPr>
        <w:pStyle w:val="BodyText"/>
        <w:spacing w:line="297" w:lineRule="auto" w:before="113"/>
        <w:ind w:right="6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410390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14198pt;width:1.65pt;height:1.65pt;mso-position-horizontal-relative:page;mso-position-vertical-relative:paragraph;z-index:15737856" id="docshape24" coordorigin="1675,646" coordsize="33,33" path="m1696,679l1687,679,1683,677,1676,671,1675,667,1675,658,1676,654,1683,648,1687,646,1696,646,1699,648,1706,654,1707,658,1707,663,1707,667,1706,671,1699,677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young woman who co-owned house with ex-boyfriend who refused to buy </w:t>
      </w:r>
      <w:r>
        <w:rPr>
          <w:color w:val="6E6158"/>
        </w:rPr>
        <w:t>her out after his infidelity.</w:t>
      </w:r>
      <w:r>
        <w:rPr>
          <w:color w:val="6E6158"/>
          <w:spacing w:val="40"/>
        </w:rPr>
        <w:t> </w:t>
      </w:r>
      <w:r>
        <w:rPr>
          <w:color w:val="6E6158"/>
        </w:rPr>
        <w:t>Forced him to refinance house for her payment to avoid partition sale and</w:t>
      </w:r>
      <w:r>
        <w:rPr>
          <w:color w:val="6E6158"/>
          <w:spacing w:val="25"/>
        </w:rPr>
        <w:t> </w:t>
      </w:r>
      <w:r>
        <w:rPr>
          <w:color w:val="6E6158"/>
        </w:rPr>
        <w:t>even</w:t>
      </w:r>
      <w:r>
        <w:rPr>
          <w:color w:val="6E6158"/>
          <w:spacing w:val="25"/>
        </w:rPr>
        <w:t> </w:t>
      </w:r>
      <w:r>
        <w:rPr>
          <w:color w:val="6E6158"/>
        </w:rPr>
        <w:t>made</w:t>
      </w:r>
      <w:r>
        <w:rPr>
          <w:color w:val="6E6158"/>
          <w:spacing w:val="25"/>
        </w:rPr>
        <w:t> </w:t>
      </w:r>
      <w:r>
        <w:rPr>
          <w:color w:val="6E6158"/>
        </w:rPr>
        <w:t>him</w:t>
      </w:r>
      <w:r>
        <w:rPr>
          <w:color w:val="6E6158"/>
          <w:spacing w:val="25"/>
        </w:rPr>
        <w:t> </w:t>
      </w:r>
      <w:r>
        <w:rPr>
          <w:color w:val="6E6158"/>
        </w:rPr>
        <w:t>Venmo</w:t>
      </w:r>
      <w:r>
        <w:rPr>
          <w:color w:val="6E6158"/>
          <w:spacing w:val="25"/>
        </w:rPr>
        <w:t> </w:t>
      </w:r>
      <w:r>
        <w:rPr>
          <w:color w:val="6E6158"/>
        </w:rPr>
        <w:t>client</w:t>
      </w:r>
      <w:r>
        <w:rPr>
          <w:color w:val="6E6158"/>
          <w:spacing w:val="25"/>
        </w:rPr>
        <w:t> </w:t>
      </w:r>
      <w:r>
        <w:rPr>
          <w:color w:val="6E6158"/>
        </w:rPr>
        <w:t>additional</w:t>
      </w:r>
      <w:r>
        <w:rPr>
          <w:color w:val="6E6158"/>
          <w:spacing w:val="25"/>
        </w:rPr>
        <w:t> </w:t>
      </w:r>
      <w:r>
        <w:rPr>
          <w:color w:val="6E6158"/>
        </w:rPr>
        <w:t>money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wasted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dealing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229" w:lineRule="exact" w:before="0"/>
      </w:pPr>
      <w:r>
        <w:rPr>
          <w:color w:val="6E6158"/>
          <w:spacing w:val="-2"/>
        </w:rPr>
        <w:t>issue.</w:t>
      </w:r>
    </w:p>
    <w:p>
      <w:pPr>
        <w:pStyle w:val="BodyText"/>
        <w:spacing w:line="292" w:lineRule="auto"/>
        <w:ind w:right="7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263051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2744pt;width:1.65pt;height:1.65pt;mso-position-horizontal-relative:page;mso-position-vertical-relative:paragraph;z-index:15738368" id="docshape2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client against $2.5 million damages claim from multi-level marketing </w:t>
      </w:r>
      <w:r>
        <w:rPr>
          <w:color w:val="6E6158"/>
        </w:rPr>
        <w:t>company for alleged fraud and settled for $50,000.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080"/>
        </w:sectPr>
      </w:pPr>
    </w:p>
    <w:p>
      <w:pPr>
        <w:pStyle w:val="Heading2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38880" id="docshape2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Appellate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4"/>
        <w:ind w:left="356" w:right="427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183944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3824pt;width:1.65pt;height:1.65pt;mso-position-horizontal-relative:page;mso-position-vertical-relative:paragraph;z-index:15739392" id="docshape27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452644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1323pt;width:1.65pt;height:1.65pt;mso-position-horizontal-relative:page;mso-position-vertical-relative:paragraph;z-index:15739904" id="docshape28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z w:val="19"/>
        </w:rPr>
        <w:t>2024 40 Under 40, </w:t>
      </w:r>
      <w:r>
        <w:rPr>
          <w:i/>
          <w:color w:val="6E6158"/>
          <w:sz w:val="20"/>
        </w:rPr>
        <w:t>Phoenix Business Journal</w:t>
      </w:r>
      <w:r>
        <w:rPr>
          <w:color w:val="6E6158"/>
          <w:sz w:val="19"/>
        </w:rPr>
        <w:t>, 2024</w:t>
      </w:r>
    </w:p>
    <w:p>
      <w:pPr>
        <w:spacing w:line="288" w:lineRule="auto" w:before="0"/>
        <w:ind w:left="356" w:right="49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154676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79232pt;width:1.65pt;height:1.65pt;mso-position-horizontal-relative:page;mso-position-vertical-relative:paragraph;z-index:15740416" id="docshape29" coordorigin="1675,244" coordsize="33,33" path="m1696,276l1687,276,1683,275,1676,268,1675,264,1675,255,1676,252,1683,245,1687,244,1696,244,1699,245,1706,252,1707,255,1707,260,1707,264,1706,268,1699,275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Appellate Practice, Commercial Litigation, 2022- </w:t>
      </w:r>
      <w:r>
        <w:rPr>
          <w:color w:val="6E6158"/>
          <w:spacing w:val="-4"/>
          <w:sz w:val="19"/>
        </w:rPr>
        <w:t>2023</w:t>
      </w:r>
    </w:p>
    <w:p>
      <w:pPr>
        <w:spacing w:before="1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141688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56594pt;width:1.65pt;height:1.65pt;mso-position-horizontal-relative:page;mso-position-vertical-relative:paragraph;z-index:15740928" id="docshape30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Up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Coming,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47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152686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569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Meet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2024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class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40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Under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40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8,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262792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2362pt;width:1.65pt;height:1.65pt;mso-position-horizontal-relative:page;mso-position-vertical-relative:paragraph;z-index:15741952" id="docshape32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4">
        <w:r>
          <w:rPr>
            <w:color w:val="F5821F"/>
          </w:rPr>
          <w:t>Meet the Phoenix Business Journal’s 2024 40 Under 40 honorees</w:t>
        </w:r>
      </w:hyperlink>
      <w:r>
        <w:rPr>
          <w:color w:val="6E6158"/>
        </w:rPr>
        <w:t>,” Phoenix Business</w:t>
      </w:r>
      <w:r>
        <w:rPr>
          <w:color w:val="6E6158"/>
          <w:spacing w:val="40"/>
        </w:rPr>
        <w:t> </w:t>
      </w:r>
      <w:r>
        <w:rPr>
          <w:color w:val="6E6158"/>
        </w:rPr>
        <w:t>Journal, May 7, 2024</w:t>
      </w:r>
    </w:p>
    <w:p>
      <w:pPr>
        <w:pStyle w:val="BodyText"/>
        <w:spacing w:line="292" w:lineRule="auto" w:before="131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235752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3211pt;width:1.65pt;height:1.65pt;mso-position-horizontal-relative:page;mso-position-vertical-relative:paragraph;z-index:15742464" id="docshape3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business owner’s guide to lawsuit settlement,” Greater Phoenix </w:t>
      </w:r>
      <w:r>
        <w:rPr>
          <w:color w:val="6E6158"/>
        </w:rPr>
        <w:t>Chamber, September 25,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143005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31pt;width:1.65pt;height:1.65pt;mso-position-horizontal-relative:page;mso-position-vertical-relative:paragraph;z-index:15742976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“A</w:t>
      </w:r>
      <w:r>
        <w:rPr>
          <w:color w:val="6E6158"/>
          <w:spacing w:val="10"/>
        </w:rPr>
        <w:t> </w:t>
      </w:r>
      <w:r>
        <w:rPr>
          <w:color w:val="6E6158"/>
        </w:rPr>
        <w:t>litigator’s</w:t>
      </w:r>
      <w:r>
        <w:rPr>
          <w:color w:val="6E6158"/>
          <w:spacing w:val="10"/>
        </w:rPr>
        <w:t> </w:t>
      </w:r>
      <w:r>
        <w:rPr>
          <w:color w:val="6E6158"/>
        </w:rPr>
        <w:t>prime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lawsuit</w:t>
      </w:r>
      <w:r>
        <w:rPr>
          <w:color w:val="6E6158"/>
          <w:spacing w:val="10"/>
        </w:rPr>
        <w:t> </w:t>
      </w:r>
      <w:r>
        <w:rPr>
          <w:color w:val="6E6158"/>
        </w:rPr>
        <w:t>settlement,”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Capitol</w:t>
      </w:r>
      <w:r>
        <w:rPr>
          <w:color w:val="6E6158"/>
          <w:spacing w:val="10"/>
        </w:rPr>
        <w:t> </w:t>
      </w:r>
      <w:r>
        <w:rPr>
          <w:color w:val="6E6158"/>
        </w:rPr>
        <w:t>Times,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0"/>
        </w:rPr>
        <w:t> </w:t>
      </w:r>
      <w:r>
        <w:rPr>
          <w:color w:val="6E6158"/>
        </w:rPr>
        <w:t>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268352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0104pt;width:1.65pt;height:1.65pt;mso-position-horizontal-relative:page;mso-position-vertical-relative:paragraph;z-index:15743488" id="docshape35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business owner’s guide to lawsuit settlement,” Phoenix Business Journal and AZ </w:t>
      </w:r>
      <w:r>
        <w:rPr>
          <w:color w:val="6E6158"/>
        </w:rPr>
        <w:t>Big Media, June 2, 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136466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5386pt;width:1.65pt;height:1.65pt;mso-position-horizontal-relative:page;mso-position-vertical-relative:paragraph;z-index:15744000" id="docshape36" coordorigin="1675,215" coordsize="33,33" path="m1696,247l1687,247,1683,246,1676,240,1675,236,1675,227,1676,223,1683,216,1687,215,1696,215,1699,216,1706,223,1707,227,1707,231,1707,236,1706,240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“Are</w:t>
      </w:r>
      <w:r>
        <w:rPr>
          <w:color w:val="6E6158"/>
          <w:spacing w:val="13"/>
        </w:rPr>
        <w:t> </w:t>
      </w:r>
      <w:r>
        <w:rPr>
          <w:color w:val="6E6158"/>
        </w:rPr>
        <w:t>you</w:t>
      </w:r>
      <w:r>
        <w:rPr>
          <w:color w:val="6E6158"/>
          <w:spacing w:val="14"/>
        </w:rPr>
        <w:t> </w:t>
      </w:r>
      <w:r>
        <w:rPr>
          <w:color w:val="6E6158"/>
        </w:rPr>
        <w:t>“overemployed?”,</w:t>
      </w:r>
      <w:r>
        <w:rPr>
          <w:color w:val="6E6158"/>
          <w:spacing w:val="13"/>
        </w:rPr>
        <w:t> </w:t>
      </w:r>
      <w:r>
        <w:rPr>
          <w:color w:val="6E6158"/>
        </w:rPr>
        <w:t>KOLD</w:t>
      </w:r>
      <w:r>
        <w:rPr>
          <w:color w:val="6E6158"/>
          <w:spacing w:val="13"/>
        </w:rPr>
        <w:t> </w:t>
      </w:r>
      <w:r>
        <w:rPr>
          <w:color w:val="6E6158"/>
        </w:rPr>
        <w:t>News</w:t>
      </w:r>
      <w:r>
        <w:rPr>
          <w:color w:val="6E6158"/>
          <w:spacing w:val="14"/>
        </w:rPr>
        <w:t> </w:t>
      </w:r>
      <w:r>
        <w:rPr>
          <w:color w:val="6E6158"/>
        </w:rPr>
        <w:t>13,</w:t>
      </w:r>
      <w:r>
        <w:rPr>
          <w:color w:val="6E6158"/>
          <w:spacing w:val="13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</w:rPr>
        <w:t>25,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175151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429pt;width:1.65pt;height:1.65pt;mso-position-horizontal-relative:page;mso-position-vertical-relative:paragraph;z-index:15744512" id="docshape3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1"/>
        </w:rPr>
        <w:t> </w:t>
      </w:r>
      <w:r>
        <w:rPr>
          <w:color w:val="6E6158"/>
        </w:rPr>
        <w:t>“Top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2"/>
        </w:rPr>
        <w:t> </w:t>
      </w:r>
      <w:r>
        <w:rPr>
          <w:color w:val="6E6158"/>
        </w:rPr>
        <w:t>2022:</w:t>
      </w:r>
      <w:r>
        <w:rPr>
          <w:color w:val="6E6158"/>
          <w:spacing w:val="11"/>
        </w:rPr>
        <w:t> </w:t>
      </w:r>
      <w:r>
        <w:rPr>
          <w:color w:val="6E6158"/>
        </w:rPr>
        <w:t>Emily</w:t>
      </w:r>
      <w:r>
        <w:rPr>
          <w:color w:val="6E6158"/>
          <w:spacing w:val="11"/>
        </w:rPr>
        <w:t> </w:t>
      </w:r>
      <w:r>
        <w:rPr>
          <w:color w:val="6E6158"/>
        </w:rPr>
        <w:t>A.</w:t>
      </w:r>
      <w:r>
        <w:rPr>
          <w:color w:val="6E6158"/>
          <w:spacing w:val="11"/>
        </w:rPr>
        <w:t> </w:t>
      </w:r>
      <w:r>
        <w:rPr>
          <w:color w:val="6E6158"/>
        </w:rPr>
        <w:t>Ward,</w:t>
      </w:r>
      <w:r>
        <w:rPr>
          <w:color w:val="6E6158"/>
          <w:spacing w:val="12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Litigation,”</w:t>
      </w:r>
      <w:r>
        <w:rPr>
          <w:color w:val="6E6158"/>
          <w:spacing w:val="11"/>
        </w:rPr>
        <w:t> </w:t>
      </w:r>
      <w:r>
        <w:rPr>
          <w:color w:val="6E6158"/>
        </w:rPr>
        <w:t>Phoenix,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</w:rPr>
        <w:t>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175100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474pt;width:1.65pt;height:1.65pt;mso-position-horizontal-relative:page;mso-position-vertical-relative:paragraph;z-index:15745024" id="docshape3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9"/>
        </w:rPr>
        <w:t> </w:t>
      </w:r>
      <w:r>
        <w:rPr>
          <w:color w:val="6E6158"/>
        </w:rPr>
        <w:t>“Supreme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Appears</w:t>
      </w:r>
      <w:r>
        <w:rPr>
          <w:color w:val="6E6158"/>
          <w:spacing w:val="10"/>
        </w:rPr>
        <w:t> </w:t>
      </w:r>
      <w:r>
        <w:rPr>
          <w:color w:val="6E6158"/>
        </w:rPr>
        <w:t>Ready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Overturn</w:t>
      </w:r>
      <w:r>
        <w:rPr>
          <w:color w:val="6E6158"/>
          <w:spacing w:val="10"/>
        </w:rPr>
        <w:t> </w:t>
      </w:r>
      <w:r>
        <w:rPr>
          <w:color w:val="6E6158"/>
        </w:rPr>
        <w:t>Roe</w:t>
      </w:r>
      <w:r>
        <w:rPr>
          <w:color w:val="6E6158"/>
          <w:spacing w:val="9"/>
        </w:rPr>
        <w:t> </w:t>
      </w:r>
      <w:r>
        <w:rPr>
          <w:color w:val="6E6158"/>
        </w:rPr>
        <w:t>V.</w:t>
      </w:r>
      <w:r>
        <w:rPr>
          <w:color w:val="6E6158"/>
          <w:spacing w:val="9"/>
        </w:rPr>
        <w:t> </w:t>
      </w:r>
      <w:r>
        <w:rPr>
          <w:color w:val="6E6158"/>
        </w:rPr>
        <w:t>Wade,”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Fox</w:t>
      </w:r>
      <w:r>
        <w:rPr>
          <w:color w:val="6E6158"/>
          <w:spacing w:val="9"/>
        </w:rPr>
        <w:t> </w:t>
      </w:r>
      <w:r>
        <w:rPr>
          <w:color w:val="6E6158"/>
        </w:rPr>
        <w:t>10,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5,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82"/>
        <w:ind w:right="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268062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726pt;width:1.65pt;height:1.65pt;mso-position-horizontal-relative:page;mso-position-vertical-relative:paragraph;z-index:15745536" id="docshape3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“They knew this would cause an uproar”: Phoenix constitutional law </w:t>
      </w:r>
      <w:r>
        <w:rPr>
          <w:color w:val="6E6158"/>
        </w:rPr>
        <w:t>attorney analyzes impact of seismic SCOTUS leak,” News Break, May 5, 2022</w:t>
      </w:r>
    </w:p>
    <w:p>
      <w:pPr>
        <w:spacing w:line="285" w:lineRule="auto" w:before="113"/>
        <w:ind w:left="356" w:right="64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235942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115pt;width:1.65pt;height:1.65pt;mso-position-horizontal-relative:page;mso-position-vertical-relative:paragraph;z-index:15746048" id="docshape4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“Must Attorneys’ Fees Be Included in Supersedeas Bond Amounts?”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z w:val="20"/>
        </w:rPr>
        <w:t> Attorney Magazine</w:t>
      </w:r>
      <w:r>
        <w:rPr>
          <w:color w:val="6E6158"/>
          <w:sz w:val="19"/>
        </w:rPr>
        <w:t>, April 2021</w:t>
      </w:r>
    </w:p>
    <w:p>
      <w:pPr>
        <w:pStyle w:val="BodyText"/>
        <w:spacing w:line="292" w:lineRule="auto" w:before="126"/>
        <w:ind w:right="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232815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3193pt;width:1.65pt;height:1.65pt;mso-position-horizontal-relative:page;mso-position-vertical-relative:paragraph;z-index:15746560" id="docshape41" coordorigin="1675,367" coordsize="33,33" path="m1696,399l1687,399,1683,398,1676,391,1675,387,1675,378,1676,375,1683,368,1687,367,1696,367,1699,368,1706,375,1707,378,1707,383,1707,387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“Decision and Post-Decision Proceedings in the Court of Appeals,” </w:t>
      </w:r>
      <w:r>
        <w:rPr>
          <w:color w:val="6E6158"/>
        </w:rPr>
        <w:t>Arizona Appellate Handbook 2.0, 2020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143243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017pt;width:1.65pt;height:1.65pt;mso-position-horizontal-relative:page;mso-position-vertical-relative:paragraph;z-index:15747072" id="docshape4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right="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267955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8824pt;width:1.65pt;height:1.65pt;mso-position-horizontal-relative:page;mso-position-vertical-relative:paragraph;z-index:15747584" id="docshape4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“Living Through Change: How the New Civil Practice Rules Are Working, And </w:t>
      </w:r>
      <w:r>
        <w:rPr>
          <w:color w:val="6E6158"/>
        </w:rPr>
        <w:t>How They Will Affect You,” State Bar of Arizona 2019 Annual Convention, June 27, 2019</w:t>
      </w:r>
    </w:p>
    <w:p>
      <w:pPr>
        <w:pStyle w:val="BodyText"/>
        <w:spacing w:line="292" w:lineRule="auto" w:before="123"/>
        <w:ind w:right="4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230667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2781pt;width:1.65pt;height:1.65pt;mso-position-horizontal-relative:page;mso-position-vertical-relative:paragraph;z-index:15748096" id="docshape4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“Not So Stranger Things: Becoming Acquainted with Arizona’s New Civil Rules,” </w:t>
      </w:r>
      <w:r>
        <w:rPr>
          <w:color w:val="6E6158"/>
        </w:rPr>
        <w:t>State Bar of Arizona 2018 Annual Convention, June 27, 2018</w:t>
      </w:r>
    </w:p>
    <w:p>
      <w:pPr>
        <w:pStyle w:val="Heading2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152472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744pt;width:1.65pt;height:1.65pt;mso-position-horizontal-relative:page;mso-position-vertical-relative:paragraph;z-index:15748608" id="docshape4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O’Connor</w:t>
      </w:r>
      <w:r>
        <w:rPr>
          <w:color w:val="6E6158"/>
          <w:spacing w:val="13"/>
        </w:rPr>
        <w:t> </w:t>
      </w:r>
      <w:r>
        <w:rPr>
          <w:color w:val="6E6158"/>
        </w:rPr>
        <w:t>Institute</w:t>
      </w:r>
      <w:r>
        <w:rPr>
          <w:color w:val="6E6158"/>
          <w:spacing w:val="13"/>
        </w:rPr>
        <w:t> </w:t>
      </w:r>
      <w:r>
        <w:rPr>
          <w:color w:val="6E6158"/>
        </w:rPr>
        <w:t>Emerging</w:t>
      </w:r>
      <w:r>
        <w:rPr>
          <w:color w:val="6E6158"/>
          <w:spacing w:val="13"/>
        </w:rPr>
        <w:t> </w:t>
      </w:r>
      <w:r>
        <w:rPr>
          <w:color w:val="6E6158"/>
        </w:rPr>
        <w:t>Leaders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Network</w:t>
      </w:r>
    </w:p>
    <w:p>
      <w:pPr>
        <w:pStyle w:val="BodyText"/>
        <w:spacing w:line="422" w:lineRule="auto"/>
        <w:ind w:right="26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175369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654pt;width:1.65pt;height:1.65pt;mso-position-horizontal-relative:page;mso-position-vertical-relative:paragraph;z-index:15749120" id="docshape4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433735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242pt;width:1.65pt;height:1.65pt;mso-position-horizontal-relative:page;mso-position-vertical-relative:paragraph;z-index:15749632" id="docshape47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692101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6162pt;width:1.65pt;height:1.65pt;mso-position-horizontal-relative:page;mso-position-vertical-relative:paragraph;z-index:15750144" id="docshape48" coordorigin="1675,1090" coordsize="33,33" path="m1696,1122l1687,1122,1683,1121,1676,1115,1675,1111,1675,1102,1676,1098,1683,1092,1687,1090,1696,1090,1699,1092,1706,1098,1707,1102,1707,1106,1707,1111,1706,1115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Florence Immigrant and Refugee Rights Project</w:t>
      </w:r>
      <w:r>
        <w:rPr>
          <w:color w:val="6E6158"/>
          <w:spacing w:val="40"/>
        </w:rPr>
        <w:t> </w:t>
      </w:r>
      <w:r>
        <w:rPr>
          <w:color w:val="6E6158"/>
        </w:rPr>
        <w:t>Member, Civil Practice and Procedure Committee, State Bar of </w:t>
      </w:r>
      <w:r>
        <w:rPr>
          <w:color w:val="6E6158"/>
        </w:rPr>
        <w:t>Arizona Volunteer, Chrysalis Domestic Violence Shelter, 2014–present</w:t>
      </w:r>
    </w:p>
    <w:p>
      <w:pPr>
        <w:pStyle w:val="BodyText"/>
        <w:spacing w:line="232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58928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0025pt;width:1.65pt;height:1.65pt;mso-position-horizontal-relative:page;mso-position-vertical-relative:paragraph;z-index:15750656" id="docshape49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-2"/>
        </w:rPr>
        <w:t> </w:t>
      </w:r>
      <w:r>
        <w:rPr>
          <w:color w:val="6E6158"/>
        </w:rPr>
        <w:t>Volunteer</w:t>
      </w:r>
      <w:r>
        <w:rPr>
          <w:color w:val="6E6158"/>
          <w:spacing w:val="-2"/>
        </w:rPr>
        <w:t> </w:t>
      </w:r>
      <w:r>
        <w:rPr>
          <w:color w:val="6E6158"/>
        </w:rPr>
        <w:t>Lawyer’s</w:t>
      </w:r>
      <w:r>
        <w:rPr>
          <w:color w:val="6E6158"/>
          <w:spacing w:val="-2"/>
        </w:rPr>
        <w:t> Program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175319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724pt;width:1.65pt;height:1.65pt;mso-position-horizontal-relative:page;mso-position-vertical-relative:paragraph;z-index:15751168" id="docshape5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Directors,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Industries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Blind</w:t>
      </w:r>
    </w:p>
    <w:p>
      <w:pPr>
        <w:pStyle w:val="BodyText"/>
        <w:spacing w:after="0"/>
        <w:sectPr>
          <w:pgSz w:w="12240" w:h="15840"/>
          <w:pgMar w:top="580" w:bottom="280" w:left="1440" w:right="1080"/>
        </w:sectPr>
      </w:pPr>
    </w:p>
    <w:p>
      <w:pPr>
        <w:pStyle w:val="Heading2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84pt;width:1.65pt;height:1.65pt;mso-position-horizontal-relative:page;mso-position-vertical-relative:paragraph;z-index:15751680" id="docshape5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175047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23pt;width:1.65pt;height:1.65pt;mso-position-horizontal-relative:page;mso-position-vertical-relative:paragraph;z-index:15752192" id="docshape5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174996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273pt;width:1.65pt;height:1.65pt;mso-position-horizontal-relative:page;mso-position-vertical-relative:paragraph;z-index:15752704" id="docshape5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Texas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175033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192pt;width:1.65pt;height:1.65pt;mso-position-horizontal-relative:page;mso-position-vertical-relative:paragraph;z-index:15753216" id="docshape5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174983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235pt;width:1.65pt;height:1.65pt;mso-position-horizontal-relative:page;mso-position-vertical-relative:paragraph;z-index:15753728" id="docshape5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174933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281pt;width:1.65pt;height:1.65pt;mso-position-horizontal-relative:page;mso-position-vertical-relative:paragraph;z-index:15754240" id="docshape5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eward@fennemorelaw.com" TargetMode="External"/><Relationship Id="rId11" Type="http://schemas.openxmlformats.org/officeDocument/2006/relationships/hyperlink" Target="https://www.phoenixmag.com/2022/09/02/top-lawyer-2022-emily-a-ward-business-litigation/" TargetMode="External"/><Relationship Id="rId12" Type="http://schemas.openxmlformats.org/officeDocument/2006/relationships/hyperlink" Target="https://www.bizjournals.com/phoenix/c/2024-40-under-40/26362/emily-ward.html" TargetMode="External"/><Relationship Id="rId13" Type="http://schemas.openxmlformats.org/officeDocument/2006/relationships/hyperlink" Target="https://www.fox10phoenix.com/news/near-total-abortion-ban-in-arizona-halted-by-court-order" TargetMode="External"/><Relationship Id="rId14" Type="http://schemas.openxmlformats.org/officeDocument/2006/relationships/hyperlink" Target="https://www.bizjournals.com/phoenix/news/2024/05/07/2024-arizona-40-under-40-honorees.html?utm_source=st&amp;utm_medium=en&amp;utm_campaign=EX_BH&amp;utm_content=ph35297037&amp;senddate=2024-05-07" TargetMode="External"/><Relationship Id="rId15" Type="http://schemas.openxmlformats.org/officeDocument/2006/relationships/hyperlink" Target="https://www.fennemorelaw.com/insights/blogs/2021/let-s-celebrate-random-acts-of-kindness-da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2025-08-21T19:32:08Z</dcterms:created>
  <dcterms:modified xsi:type="dcterms:W3CDTF">2025-08-21T19:32:08Z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2025-08-21T00:00:00Z</vt:filetime>
  </property>
  <property fmtid="{D5CDD505-2E9C-101B-9397-08002B2CF9AE}" pid="5" name="Producer">
    <vt:lpwstr>Skia/PDF m117</vt:lpwstr>
  </property>
</Properties>
</file>