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2888615"/>
                          <a:chExt cx="6066790" cy="288861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03434" y="1369338"/>
                            <a:ext cx="209296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2960" h="320675">
                                <a:moveTo>
                                  <a:pt x="209275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92756" y="320382"/>
                                </a:lnTo>
                                <a:lnTo>
                                  <a:pt x="2092756" y="315214"/>
                                </a:lnTo>
                                <a:close/>
                              </a:path>
                              <a:path w="2092960" h="320675">
                                <a:moveTo>
                                  <a:pt x="20927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92756" y="5168"/>
                                </a:lnTo>
                                <a:lnTo>
                                  <a:pt x="2092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HOWARD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W.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LIND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15" w:val="left" w:leader="none"/>
                                </w:tabs>
                                <w:spacing w:before="55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hlind@fennemorelaw.com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27.45pt;mso-position-horizontal-relative:char;mso-position-vertical-relative:line" id="docshapegroup1" coordorigin="0,0" coordsize="9554,4549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126" type="#_x0000_t75" id="docshape3" stroked="false">
                  <v:imagedata r:id="rId7" o:title=""/>
                </v:shape>
                <v:rect style="position:absolute;left:4776;top:423;width:4777;height:4126" id="docshape4" filled="true" fillcolor="#262424" stroked="false">
                  <v:fill type="solid"/>
                </v:rect>
                <v:shape style="position:absolute;left:5517;top:2156;width:3296;height:505" id="docshape5" coordorigin="5517,2156" coordsize="3296,505" path="m8813,2653l5517,2653,5517,2661,8813,2661,8813,2653xm8813,2156l5517,2156,5517,2165,8813,2165,8813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HOWARD</w:t>
                        </w:r>
                        <w:r>
                          <w:rPr>
                            <w:color w:val="FFFFFF"/>
                            <w:spacing w:val="-21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W.</w:t>
                        </w:r>
                        <w:r>
                          <w:rPr>
                            <w:color w:val="FFFFFF"/>
                            <w:spacing w:val="-21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LIND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815" w:val="left" w:leader="none"/>
                          </w:tabs>
                          <w:spacing w:before="55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510.834.1928</w:t>
                        </w:r>
                      </w:p>
                      <w:p>
                        <w:pPr>
                          <w:spacing w:before="119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hlind@fennemorelaw.com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72"/>
      </w:pPr>
      <w:r>
        <w:rPr>
          <w:color w:val="FF8100"/>
        </w:rPr>
        <w:t>HOWARD</w:t>
      </w:r>
      <w:r>
        <w:rPr>
          <w:color w:val="FF8100"/>
          <w:spacing w:val="7"/>
        </w:rPr>
        <w:t> </w:t>
      </w:r>
      <w:r>
        <w:rPr>
          <w:color w:val="FF8100"/>
        </w:rPr>
        <w:t>W.</w:t>
      </w:r>
      <w:r>
        <w:rPr>
          <w:color w:val="FF8100"/>
          <w:spacing w:val="8"/>
        </w:rPr>
        <w:t> </w:t>
      </w:r>
      <w:r>
        <w:rPr>
          <w:color w:val="FF8100"/>
          <w:spacing w:val="-4"/>
        </w:rPr>
        <w:t>LIND</w:t>
      </w:r>
    </w:p>
    <w:p>
      <w:pPr>
        <w:pStyle w:val="BodyText"/>
        <w:spacing w:line="297" w:lineRule="auto"/>
        <w:ind w:left="104" w:right="454"/>
      </w:pPr>
      <w:r>
        <w:rPr>
          <w:color w:val="6E6158"/>
        </w:rPr>
        <w:t>Howard maintains a thriving real estate practice representing clients, including retail sales and</w:t>
      </w:r>
      <w:r>
        <w:rPr>
          <w:color w:val="6E6158"/>
          <w:spacing w:val="40"/>
        </w:rPr>
        <w:t> </w:t>
      </w:r>
      <w:r>
        <w:rPr>
          <w:color w:val="6E6158"/>
        </w:rPr>
        <w:t>services, financial institutions, religious entities, restaurants, agriculture and manufacturing, in all</w:t>
      </w:r>
      <w:r>
        <w:rPr>
          <w:color w:val="6E6158"/>
          <w:spacing w:val="40"/>
        </w:rPr>
        <w:t> </w:t>
      </w:r>
      <w:r>
        <w:rPr>
          <w:color w:val="6E6158"/>
        </w:rPr>
        <w:t>aspects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real</w:t>
      </w:r>
      <w:r>
        <w:rPr>
          <w:color w:val="6E6158"/>
          <w:spacing w:val="17"/>
        </w:rPr>
        <w:t> </w:t>
      </w:r>
      <w:r>
        <w:rPr>
          <w:color w:val="6E6158"/>
        </w:rPr>
        <w:t>property</w:t>
      </w:r>
      <w:r>
        <w:rPr>
          <w:color w:val="6E6158"/>
          <w:spacing w:val="17"/>
        </w:rPr>
        <w:t> </w:t>
      </w:r>
      <w:r>
        <w:rPr>
          <w:color w:val="6E6158"/>
        </w:rPr>
        <w:t>transactions.</w:t>
      </w:r>
      <w:r>
        <w:rPr>
          <w:color w:val="6E6158"/>
          <w:spacing w:val="17"/>
        </w:rPr>
        <w:t> </w:t>
      </w:r>
      <w:r>
        <w:rPr>
          <w:color w:val="6E6158"/>
        </w:rPr>
        <w:t>His</w:t>
      </w:r>
      <w:r>
        <w:rPr>
          <w:color w:val="6E6158"/>
          <w:spacing w:val="17"/>
        </w:rPr>
        <w:t> </w:t>
      </w:r>
      <w:r>
        <w:rPr>
          <w:color w:val="6E6158"/>
        </w:rPr>
        <w:t>practice</w:t>
      </w:r>
      <w:r>
        <w:rPr>
          <w:color w:val="6E6158"/>
          <w:spacing w:val="17"/>
        </w:rPr>
        <w:t> </w:t>
      </w:r>
      <w:r>
        <w:rPr>
          <w:color w:val="6E6158"/>
        </w:rPr>
        <w:t>includes</w:t>
      </w:r>
      <w:r>
        <w:rPr>
          <w:color w:val="6E6158"/>
          <w:spacing w:val="17"/>
        </w:rPr>
        <w:t> </w:t>
      </w:r>
      <w:r>
        <w:rPr>
          <w:color w:val="6E6158"/>
        </w:rPr>
        <w:t>a</w:t>
      </w:r>
      <w:r>
        <w:rPr>
          <w:color w:val="6E6158"/>
          <w:spacing w:val="17"/>
        </w:rPr>
        <w:t> </w:t>
      </w:r>
      <w:r>
        <w:rPr>
          <w:color w:val="6E6158"/>
        </w:rPr>
        <w:t>substantial</w:t>
      </w:r>
      <w:r>
        <w:rPr>
          <w:color w:val="6E6158"/>
          <w:spacing w:val="17"/>
        </w:rPr>
        <w:t> </w:t>
      </w:r>
      <w:r>
        <w:rPr>
          <w:color w:val="6E6158"/>
        </w:rPr>
        <w:t>amount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commercial</w:t>
      </w:r>
    </w:p>
    <w:p>
      <w:pPr>
        <w:pStyle w:val="BodyText"/>
        <w:spacing w:line="302" w:lineRule="auto" w:before="0"/>
        <w:ind w:left="104" w:right="635"/>
      </w:pPr>
      <w:r>
        <w:rPr>
          <w:color w:val="6E6158"/>
        </w:rPr>
        <w:t>leasing, as well as the acquisition and disposition of commercial property. He currently leads the</w:t>
      </w:r>
      <w:r>
        <w:rPr>
          <w:color w:val="6E6158"/>
          <w:spacing w:val="40"/>
        </w:rPr>
        <w:t> </w:t>
      </w:r>
      <w:r>
        <w:rPr>
          <w:color w:val="6E6158"/>
        </w:rPr>
        <w:t>firm’s</w:t>
      </w:r>
      <w:r>
        <w:rPr>
          <w:color w:val="6E6158"/>
          <w:spacing w:val="25"/>
        </w:rPr>
        <w:t> </w:t>
      </w:r>
      <w:r>
        <w:rPr>
          <w:color w:val="6E6158"/>
        </w:rPr>
        <w:t>real</w:t>
      </w:r>
      <w:r>
        <w:rPr>
          <w:color w:val="6E6158"/>
          <w:spacing w:val="25"/>
        </w:rPr>
        <w:t> </w:t>
      </w:r>
      <w:r>
        <w:rPr>
          <w:color w:val="6E6158"/>
        </w:rPr>
        <w:t>estate</w:t>
      </w:r>
      <w:r>
        <w:rPr>
          <w:color w:val="6E6158"/>
          <w:spacing w:val="25"/>
        </w:rPr>
        <w:t> </w:t>
      </w:r>
      <w:r>
        <w:rPr>
          <w:color w:val="6E6158"/>
        </w:rPr>
        <w:t>team</w:t>
      </w:r>
      <w:r>
        <w:rPr>
          <w:color w:val="6E6158"/>
          <w:spacing w:val="25"/>
        </w:rPr>
        <w:t> </w:t>
      </w:r>
      <w:r>
        <w:rPr>
          <w:color w:val="6E6158"/>
        </w:rPr>
        <w:t>that</w:t>
      </w:r>
      <w:r>
        <w:rPr>
          <w:color w:val="6E6158"/>
          <w:spacing w:val="25"/>
        </w:rPr>
        <w:t> </w:t>
      </w:r>
      <w:r>
        <w:rPr>
          <w:color w:val="6E6158"/>
        </w:rPr>
        <w:t>represents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prominent</w:t>
      </w:r>
      <w:r>
        <w:rPr>
          <w:color w:val="6E6158"/>
          <w:spacing w:val="25"/>
        </w:rPr>
        <w:t> </w:t>
      </w:r>
      <w:r>
        <w:rPr>
          <w:color w:val="6E6158"/>
        </w:rPr>
        <w:t>East</w:t>
      </w:r>
      <w:r>
        <w:rPr>
          <w:color w:val="6E6158"/>
          <w:spacing w:val="25"/>
        </w:rPr>
        <w:t> </w:t>
      </w:r>
      <w:r>
        <w:rPr>
          <w:color w:val="6E6158"/>
        </w:rPr>
        <w:t>Bay</w:t>
      </w:r>
      <w:r>
        <w:rPr>
          <w:color w:val="6E6158"/>
          <w:spacing w:val="25"/>
        </w:rPr>
        <w:t> </w:t>
      </w:r>
      <w:r>
        <w:rPr>
          <w:color w:val="6E6158"/>
        </w:rPr>
        <w:t>health</w:t>
      </w:r>
      <w:r>
        <w:rPr>
          <w:color w:val="6E6158"/>
          <w:spacing w:val="25"/>
        </w:rPr>
        <w:t> </w:t>
      </w:r>
      <w:r>
        <w:rPr>
          <w:color w:val="6E6158"/>
        </w:rPr>
        <w:t>club</w:t>
      </w:r>
      <w:r>
        <w:rPr>
          <w:color w:val="6E6158"/>
          <w:spacing w:val="25"/>
        </w:rPr>
        <w:t> </w:t>
      </w:r>
      <w:r>
        <w:rPr>
          <w:color w:val="6E6158"/>
        </w:rPr>
        <w:t>chain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its</w:t>
      </w:r>
      <w:r>
        <w:rPr>
          <w:color w:val="6E6158"/>
          <w:spacing w:val="25"/>
        </w:rPr>
        <w:t> </w:t>
      </w:r>
      <w:r>
        <w:rPr>
          <w:color w:val="6E6158"/>
        </w:rPr>
        <w:t>national</w:t>
      </w:r>
    </w:p>
    <w:p>
      <w:pPr>
        <w:pStyle w:val="BodyText"/>
        <w:spacing w:line="292" w:lineRule="auto" w:before="0"/>
        <w:ind w:left="104" w:right="635"/>
      </w:pPr>
      <w:r>
        <w:rPr>
          <w:color w:val="6E6158"/>
        </w:rPr>
        <w:t>expansion. Howard served as managing partner of Wendel Rosen from 2003 to 2007. He started</w:t>
      </w:r>
      <w:r>
        <w:rPr>
          <w:color w:val="6E6158"/>
          <w:spacing w:val="40"/>
        </w:rPr>
        <w:t> </w:t>
      </w:r>
      <w:r>
        <w:rPr>
          <w:color w:val="6E6158"/>
        </w:rPr>
        <w:t>with the firm in 1978 as an associate and was elevated to partner in 1985.</w:t>
      </w:r>
    </w:p>
    <w:p>
      <w:pPr>
        <w:pStyle w:val="BodyText"/>
        <w:spacing w:line="297" w:lineRule="auto" w:before="183"/>
        <w:ind w:left="104" w:right="454"/>
      </w:pPr>
      <w:r>
        <w:rPr>
          <w:color w:val="6E6158"/>
        </w:rPr>
        <w:t>He also represents clients in connection with secured transactions, financing, commercial real</w:t>
      </w:r>
      <w:r>
        <w:rPr>
          <w:color w:val="6E6158"/>
          <w:spacing w:val="40"/>
        </w:rPr>
        <w:t> </w:t>
      </w:r>
      <w:r>
        <w:rPr>
          <w:color w:val="6E6158"/>
        </w:rPr>
        <w:t>estate brokerage agreements, construction and architectural agreements, and related areas. In</w:t>
      </w:r>
      <w:r>
        <w:rPr>
          <w:color w:val="6E6158"/>
          <w:spacing w:val="40"/>
        </w:rPr>
        <w:t> </w:t>
      </w:r>
      <w:r>
        <w:rPr>
          <w:color w:val="6E6158"/>
        </w:rPr>
        <w:t>addition, he handles real estate components of an asset or stock acquisition on behalf of clients.</w:t>
      </w:r>
      <w:r>
        <w:rPr>
          <w:color w:val="6E6158"/>
          <w:spacing w:val="40"/>
        </w:rPr>
        <w:t> </w:t>
      </w:r>
      <w:r>
        <w:rPr>
          <w:color w:val="6E6158"/>
        </w:rPr>
        <w:t>Howard advises property owners, tenants, buyers and sellers on their rights and obligations</w:t>
      </w:r>
      <w:r>
        <w:rPr>
          <w:color w:val="6E6158"/>
          <w:spacing w:val="40"/>
        </w:rPr>
        <w:t> </w:t>
      </w:r>
      <w:r>
        <w:rPr>
          <w:color w:val="6E6158"/>
        </w:rPr>
        <w:t>pertaining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real</w:t>
      </w:r>
      <w:r>
        <w:rPr>
          <w:color w:val="6E6158"/>
          <w:spacing w:val="25"/>
        </w:rPr>
        <w:t> </w:t>
      </w:r>
      <w:r>
        <w:rPr>
          <w:color w:val="6E6158"/>
        </w:rPr>
        <w:t>property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uses</w:t>
      </w:r>
      <w:r>
        <w:rPr>
          <w:color w:val="6E6158"/>
          <w:spacing w:val="25"/>
        </w:rPr>
        <w:t> </w:t>
      </w:r>
      <w:r>
        <w:rPr>
          <w:color w:val="6E6158"/>
        </w:rPr>
        <w:t>his</w:t>
      </w:r>
      <w:r>
        <w:rPr>
          <w:color w:val="6E6158"/>
          <w:spacing w:val="25"/>
        </w:rPr>
        <w:t> </w:t>
      </w:r>
      <w:r>
        <w:rPr>
          <w:color w:val="6E6158"/>
        </w:rPr>
        <w:t>expertise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help</w:t>
      </w:r>
      <w:r>
        <w:rPr>
          <w:color w:val="6E6158"/>
          <w:spacing w:val="25"/>
        </w:rPr>
        <w:t> </w:t>
      </w:r>
      <w:r>
        <w:rPr>
          <w:color w:val="6E6158"/>
        </w:rPr>
        <w:t>clients</w:t>
      </w:r>
      <w:r>
        <w:rPr>
          <w:color w:val="6E6158"/>
          <w:spacing w:val="25"/>
        </w:rPr>
        <w:t> </w:t>
      </w:r>
      <w:r>
        <w:rPr>
          <w:color w:val="6E6158"/>
        </w:rPr>
        <w:t>manage</w:t>
      </w:r>
      <w:r>
        <w:rPr>
          <w:color w:val="6E6158"/>
          <w:spacing w:val="25"/>
        </w:rPr>
        <w:t> </w:t>
      </w:r>
      <w:r>
        <w:rPr>
          <w:color w:val="6E6158"/>
        </w:rPr>
        <w:t>their</w:t>
      </w:r>
      <w:r>
        <w:rPr>
          <w:color w:val="6E6158"/>
          <w:spacing w:val="25"/>
        </w:rPr>
        <w:t> </w:t>
      </w:r>
      <w:r>
        <w:rPr>
          <w:color w:val="6E6158"/>
        </w:rPr>
        <w:t>real</w:t>
      </w:r>
      <w:r>
        <w:rPr>
          <w:color w:val="6E6158"/>
          <w:spacing w:val="25"/>
        </w:rPr>
        <w:t> </w:t>
      </w:r>
      <w:r>
        <w:rPr>
          <w:color w:val="6E6158"/>
        </w:rPr>
        <w:t>estate</w:t>
      </w:r>
      <w:r>
        <w:rPr>
          <w:color w:val="6E6158"/>
          <w:spacing w:val="25"/>
        </w:rPr>
        <w:t> </w:t>
      </w:r>
      <w:r>
        <w:rPr>
          <w:color w:val="6E6158"/>
        </w:rPr>
        <w:t>assets as a strategic part of their overall business plan.</w:t>
      </w:r>
    </w:p>
    <w:p>
      <w:pPr>
        <w:pStyle w:val="Heading1"/>
        <w:spacing w:before="153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/>
        <w:ind w:right="3800" w:firstLine="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157933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5712pt;width:1.65pt;height:1.65pt;mso-position-horizontal-relative:page;mso-position-vertical-relative:paragraph;z-index:15729152" id="docshape7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416299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79453pt;width:1.65pt;height:1.65pt;mso-position-horizontal-relative:page;mso-position-vertical-relative:paragraph;z-index:15729664" id="docshape8" coordorigin="1675,656" coordsize="33,33" path="m1696,688l1687,688,1683,687,1676,680,1675,676,1675,667,1676,664,1683,657,1687,656,1696,656,1699,657,1706,664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California, Hastings College of the </w:t>
      </w:r>
      <w:r>
        <w:rPr>
          <w:color w:val="6E6158"/>
        </w:rPr>
        <w:t>Law</w:t>
      </w:r>
      <w:r>
        <w:rPr>
          <w:color w:val="6E6158"/>
        </w:rPr>
        <w:t> B.A., University of California at Davis</w:t>
      </w:r>
    </w:p>
    <w:p>
      <w:pPr>
        <w:pStyle w:val="Heading1"/>
        <w:spacing w:before="16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right="72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152426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02106pt;width:1.65pt;height:1.65pt;mso-position-horizontal-relative:page;mso-position-vertical-relative:paragraph;z-index:15730176" id="docshape9" coordorigin="1675,240" coordsize="33,33" path="m1696,273l1687,273,1683,271,1676,265,1675,261,1675,252,1676,248,1683,242,1687,240,1696,240,1699,242,1706,248,1707,252,1707,256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415959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52720pt;width:1.65pt;height:1.65pt;mso-position-horizontal-relative:page;mso-position-vertical-relative:paragraph;z-index:15730688" id="docshape10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 Estate </w:t>
      </w:r>
      <w:r>
        <w:rPr>
          <w:color w:val="6E6158"/>
          <w:spacing w:val="-2"/>
        </w:rPr>
        <w:t>Agribusiness</w:t>
      </w:r>
    </w:p>
    <w:p>
      <w:pPr>
        <w:pStyle w:val="Heading1"/>
        <w:spacing w:before="16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157802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5373pt;width:1.65pt;height:1.65pt;mso-position-horizontal-relative:page;mso-position-vertical-relative:paragraph;z-index:15731200" id="docshape11" coordorigin="1675,249" coordsize="33,33" path="m1696,281l1687,281,1683,279,1676,273,1675,269,1675,260,1676,256,1683,250,1687,249,1696,249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AV®</w:t>
      </w:r>
      <w:r>
        <w:rPr>
          <w:color w:val="6E6158"/>
          <w:spacing w:val="11"/>
        </w:rPr>
        <w:t> </w:t>
      </w:r>
      <w:r>
        <w:rPr>
          <w:color w:val="6E6158"/>
        </w:rPr>
        <w:t>Preeminent™</w:t>
      </w:r>
      <w:r>
        <w:rPr>
          <w:color w:val="6E6158"/>
          <w:spacing w:val="12"/>
        </w:rPr>
        <w:t> </w:t>
      </w:r>
      <w:r>
        <w:rPr>
          <w:color w:val="6E6158"/>
        </w:rPr>
        <w:t>Peer</w:t>
      </w:r>
      <w:r>
        <w:rPr>
          <w:color w:val="6E6158"/>
          <w:spacing w:val="11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Rated</w:t>
      </w:r>
      <w:r>
        <w:rPr>
          <w:color w:val="6E6158"/>
          <w:spacing w:val="12"/>
        </w:rPr>
        <w:t> </w:t>
      </w:r>
      <w:r>
        <w:rPr>
          <w:color w:val="6E6158"/>
        </w:rPr>
        <w:t>(the</w:t>
      </w:r>
      <w:r>
        <w:rPr>
          <w:color w:val="6E6158"/>
          <w:spacing w:val="11"/>
        </w:rPr>
        <w:t> </w:t>
      </w:r>
      <w:r>
        <w:rPr>
          <w:color w:val="6E6158"/>
        </w:rPr>
        <w:t>highest</w:t>
      </w:r>
      <w:r>
        <w:rPr>
          <w:color w:val="6E6158"/>
          <w:spacing w:val="12"/>
        </w:rPr>
        <w:t> </w:t>
      </w:r>
      <w:r>
        <w:rPr>
          <w:color w:val="6E6158"/>
        </w:rPr>
        <w:t>rating</w:t>
      </w:r>
      <w:r>
        <w:rPr>
          <w:color w:val="6E6158"/>
          <w:spacing w:val="11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2"/>
        </w:rPr>
        <w:t> </w:t>
      </w:r>
      <w:r>
        <w:rPr>
          <w:color w:val="6E6158"/>
        </w:rPr>
        <w:t>Martindale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Hubbell</w:t>
      </w:r>
    </w:p>
    <w:p>
      <w:pPr>
        <w:spacing w:before="172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174896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1411pt;width:1.65pt;height:1.65pt;mso-position-horizontal-relative:page;mso-position-vertical-relative:paragraph;z-index:15731712" id="docshape12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color w:val="6E6158"/>
          <w:sz w:val="19"/>
        </w:rPr>
        <w:t>®, Lawyer of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the Year, Real Estate Law, 2019, 2021 and </w:t>
      </w:r>
      <w:r>
        <w:rPr>
          <w:color w:val="6E6158"/>
          <w:spacing w:val="-4"/>
          <w:sz w:val="19"/>
        </w:rPr>
        <w:t>2024</w:t>
      </w:r>
    </w:p>
    <w:p>
      <w:pPr>
        <w:spacing w:before="161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168331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254412pt;width:1.65pt;height:1.65pt;mso-position-horizontal-relative:page;mso-position-vertical-relative:paragraph;z-index:15732224" id="docshape13" coordorigin="1675,265" coordsize="33,33" path="m1696,298l1687,298,1683,296,1676,290,1675,286,1675,277,1676,273,1683,267,1687,265,1696,265,1699,267,1706,273,1707,277,1707,281,1707,286,1706,290,1699,296,1696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color w:val="6E6158"/>
          <w:sz w:val="19"/>
        </w:rPr>
        <w:t>®,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2016-</w:t>
      </w:r>
      <w:r>
        <w:rPr>
          <w:color w:val="6E6158"/>
          <w:spacing w:val="-4"/>
          <w:sz w:val="19"/>
        </w:rPr>
        <w:t>2026</w:t>
      </w:r>
    </w:p>
    <w:p>
      <w:pPr>
        <w:spacing w:before="162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173917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94284pt;width:1.65pt;height:1.65pt;mso-position-horizontal-relative:page;mso-position-vertical-relative:paragraph;z-index:15732736" id="docshape14" coordorigin="1675,274" coordsize="33,33" path="m1696,306l1687,306,1683,305,1676,298,1675,295,1675,286,1676,282,1683,275,1687,274,1696,274,1699,275,1706,282,1707,286,1707,290,1707,295,1706,298,1699,305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Northern California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color w:val="6E6158"/>
          <w:spacing w:val="-2"/>
          <w:sz w:val="19"/>
        </w:rPr>
        <w:t>®,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2"/>
          <w:sz w:val="19"/>
        </w:rPr>
        <w:t>2004-</w:t>
      </w:r>
      <w:r>
        <w:rPr>
          <w:color w:val="6E6158"/>
          <w:spacing w:val="-4"/>
          <w:sz w:val="19"/>
        </w:rPr>
        <w:t>2013</w:t>
      </w:r>
    </w:p>
    <w:p>
      <w:pPr>
        <w:spacing w:before="162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173701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7731pt;width:1.65pt;height:1.65pt;mso-position-horizontal-relative:page;mso-position-vertical-relative:paragraph;z-index:15733248" id="docshape15" coordorigin="1675,274" coordsize="33,33" path="m1696,306l1687,306,1683,305,1676,298,1675,294,1675,285,1676,281,1683,275,1687,274,1696,274,1699,275,1706,281,1707,285,1707,290,1707,294,1706,298,1699,305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Top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Attorney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East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Bay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Transactions,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East Bay Business Times</w:t>
      </w:r>
      <w:r>
        <w:rPr>
          <w:color w:val="6E6158"/>
          <w:sz w:val="19"/>
        </w:rPr>
        <w:t>,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4"/>
          <w:sz w:val="19"/>
        </w:rPr>
        <w:t>2007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8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7127pt;width:1.65pt;height:1.65pt;mso-position-horizontal-relative:page;mso-position-vertical-relative:paragraph;z-index:15733760" id="docshape16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Alameda</w:t>
      </w:r>
      <w:r>
        <w:rPr>
          <w:color w:val="6E6158"/>
          <w:spacing w:val="9"/>
        </w:rPr>
        <w:t> </w:t>
      </w:r>
      <w:r>
        <w:rPr>
          <w:color w:val="6E6158"/>
        </w:rPr>
        <w:t>County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175046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317pt;width:1.65pt;height:1.65pt;mso-position-horizontal-relative:page;mso-position-vertical-relative:paragraph;z-index:15734272" id="docshape17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Executive</w:t>
      </w:r>
      <w:r>
        <w:rPr>
          <w:color w:val="6E6158"/>
          <w:spacing w:val="13"/>
        </w:rPr>
        <w:t> </w:t>
      </w:r>
      <w:r>
        <w:rPr>
          <w:color w:val="6E6158"/>
        </w:rPr>
        <w:t>Committee,</w:t>
      </w:r>
      <w:r>
        <w:rPr>
          <w:color w:val="6E6158"/>
          <w:spacing w:val="12"/>
        </w:rPr>
        <w:t> </w:t>
      </w:r>
      <w:r>
        <w:rPr>
          <w:color w:val="6E6158"/>
        </w:rPr>
        <w:t>East</w:t>
      </w:r>
      <w:r>
        <w:rPr>
          <w:color w:val="6E6158"/>
          <w:spacing w:val="13"/>
        </w:rPr>
        <w:t> </w:t>
      </w:r>
      <w:r>
        <w:rPr>
          <w:color w:val="6E6158"/>
        </w:rPr>
        <w:t>Bay</w:t>
      </w:r>
      <w:r>
        <w:rPr>
          <w:color w:val="6E6158"/>
          <w:spacing w:val="13"/>
        </w:rPr>
        <w:t> </w:t>
      </w:r>
      <w:r>
        <w:rPr>
          <w:color w:val="6E6158"/>
        </w:rPr>
        <w:t>Leadership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Foundation</w:t>
      </w:r>
    </w:p>
    <w:p>
      <w:pPr>
        <w:pStyle w:val="BodyText"/>
        <w:spacing w:line="292" w:lineRule="auto" w:before="182"/>
        <w:ind w:right="6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268007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02964pt;width:1.65pt;height:1.65pt;mso-position-horizontal-relative:page;mso-position-vertical-relative:paragraph;z-index:15734784" id="docshape18" coordorigin="1675,422" coordsize="33,33" path="m1696,455l1687,455,1683,453,1676,447,1675,443,1675,434,1676,430,1683,424,1687,422,1696,422,1699,424,1706,430,1707,434,1707,438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Co-Chair, Commercial and Industrial Subsection, Real Property Law Section, State Bar</w:t>
      </w:r>
      <w:r>
        <w:rPr>
          <w:color w:val="6E6158"/>
          <w:spacing w:val="40"/>
        </w:rPr>
        <w:t> </w:t>
      </w:r>
      <w:r>
        <w:rPr>
          <w:color w:val="6E6158"/>
        </w:rPr>
        <w:t>of California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142875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50062pt;width:1.65pt;height:1.65pt;mso-position-horizontal-relative:page;mso-position-vertical-relative:paragraph;z-index:15735296" id="docshape19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4"/>
        </w:rPr>
        <w:t> </w:t>
      </w:r>
      <w:r>
        <w:rPr>
          <w:color w:val="6E6158"/>
        </w:rPr>
        <w:t>Member,</w:t>
      </w:r>
      <w:r>
        <w:rPr>
          <w:color w:val="6E6158"/>
          <w:spacing w:val="14"/>
        </w:rPr>
        <w:t> </w:t>
      </w:r>
      <w:r>
        <w:rPr>
          <w:color w:val="6E6158"/>
        </w:rPr>
        <w:t>California</w:t>
      </w:r>
      <w:r>
        <w:rPr>
          <w:color w:val="6E6158"/>
          <w:spacing w:val="15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Properties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  <w:ind w:left="56" w:right="809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55"/>
        <w:ind w:left="0" w:right="809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157849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9073pt;width:1.65pt;height:1.65pt;mso-position-horizontal-relative:page;mso-position-vertical-relative:paragraph;z-index:15735808" id="docshape20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hlind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2025-08-29T16:04:26Z</dcterms:created>
  <dcterms:modified xsi:type="dcterms:W3CDTF">2025-08-29T16:04:26Z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2025-08-29T00:00:00Z</vt:filetime>
  </property>
  <property fmtid="{D5CDD505-2E9C-101B-9397-08002B2CF9AE}" pid="5" name="Producer">
    <vt:lpwstr>Skia/PDF m117</vt:lpwstr>
  </property>
</Properties>
</file>