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337" w:right="33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B.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LOS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REYES</w:t>
                              </w:r>
                            </w:p>
                            <w:p>
                              <w:pPr>
                                <w:spacing w:before="48"/>
                                <w:ind w:left="337" w:right="33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337" w:right="33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37" w:right="33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337" w:right="33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jdelosreyes@fennemorelaw.com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337" w:right="33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B.</w:t>
                        </w:r>
                        <w:r>
                          <w:rPr>
                            <w:color w:val="FFFFFF"/>
                            <w:spacing w:val="-1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DE</w:t>
                        </w:r>
                        <w:r>
                          <w:rPr>
                            <w:color w:val="FFFFFF"/>
                            <w:spacing w:val="-1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LOS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REYES</w:t>
                        </w:r>
                      </w:p>
                      <w:p>
                        <w:pPr>
                          <w:spacing w:before="48"/>
                          <w:ind w:left="337" w:right="33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337" w:right="33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37" w:right="33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337" w:right="33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jdelosreyes@fennemorelaw.com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B.</w:t>
      </w:r>
      <w:r>
        <w:rPr>
          <w:color w:val="FF8100"/>
          <w:spacing w:val="5"/>
        </w:rPr>
        <w:t> </w:t>
      </w:r>
      <w:r>
        <w:rPr>
          <w:color w:val="FF8100"/>
        </w:rPr>
        <w:t>DE</w:t>
      </w:r>
      <w:r>
        <w:rPr>
          <w:color w:val="FF8100"/>
          <w:spacing w:val="5"/>
        </w:rPr>
        <w:t> </w:t>
      </w:r>
      <w:r>
        <w:rPr>
          <w:color w:val="FF8100"/>
        </w:rPr>
        <w:t>LOS</w:t>
      </w:r>
      <w:r>
        <w:rPr>
          <w:color w:val="FF8100"/>
          <w:spacing w:val="5"/>
        </w:rPr>
        <w:t> </w:t>
      </w:r>
      <w:r>
        <w:rPr>
          <w:color w:val="FF8100"/>
          <w:spacing w:val="-4"/>
        </w:rPr>
        <w:t>REYES</w:t>
      </w:r>
    </w:p>
    <w:p>
      <w:pPr>
        <w:pStyle w:val="BodyText"/>
        <w:spacing w:line="295" w:lineRule="auto"/>
        <w:ind w:left="104" w:right="513"/>
      </w:pPr>
      <w:r>
        <w:rPr>
          <w:color w:val="6E6158"/>
        </w:rPr>
        <w:t>James is a member of the firm’s </w:t>
      </w:r>
      <w:hyperlink r:id="rId11">
        <w:r>
          <w:rPr>
            <w:color w:val="F5821F"/>
          </w:rPr>
          <w:t>Construction</w:t>
        </w:r>
      </w:hyperlink>
      <w:r>
        <w:rPr>
          <w:color w:val="F5821F"/>
        </w:rPr>
        <w:t> </w:t>
      </w:r>
      <w:r>
        <w:rPr>
          <w:color w:val="6E6158"/>
        </w:rPr>
        <w:t>and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groups and focuses his</w:t>
      </w:r>
      <w:r>
        <w:rPr>
          <w:color w:val="6E6158"/>
          <w:spacing w:val="40"/>
        </w:rPr>
        <w:t> </w:t>
      </w:r>
      <w:r>
        <w:rPr>
          <w:color w:val="6E6158"/>
        </w:rPr>
        <w:t>practice on the representation of owners, builders, general contractors, and subcontractors in</w:t>
      </w:r>
      <w:r>
        <w:rPr>
          <w:color w:val="6E6158"/>
          <w:spacing w:val="40"/>
        </w:rPr>
        <w:t> </w:t>
      </w:r>
      <w:r>
        <w:rPr>
          <w:color w:val="6E6158"/>
        </w:rPr>
        <w:t>matters relating to construction, real estate, and general litigation.</w:t>
      </w:r>
      <w:r>
        <w:rPr>
          <w:color w:val="6E6158"/>
          <w:spacing w:val="80"/>
        </w:rPr>
        <w:t> </w:t>
      </w:r>
      <w:r>
        <w:rPr>
          <w:color w:val="6E6158"/>
        </w:rPr>
        <w:t>He represents his clients in all phases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litigation,</w:t>
      </w:r>
      <w:r>
        <w:rPr>
          <w:color w:val="6E6158"/>
          <w:spacing w:val="37"/>
        </w:rPr>
        <w:t> </w:t>
      </w:r>
      <w:r>
        <w:rPr>
          <w:color w:val="6E6158"/>
        </w:rPr>
        <w:t>from</w:t>
      </w:r>
      <w:r>
        <w:rPr>
          <w:color w:val="6E6158"/>
          <w:spacing w:val="37"/>
        </w:rPr>
        <w:t> </w:t>
      </w:r>
      <w:r>
        <w:rPr>
          <w:color w:val="6E6158"/>
        </w:rPr>
        <w:t>pre-litigation</w:t>
      </w:r>
      <w:r>
        <w:rPr>
          <w:color w:val="6E6158"/>
          <w:spacing w:val="37"/>
        </w:rPr>
        <w:t> </w:t>
      </w:r>
      <w:r>
        <w:rPr>
          <w:color w:val="6E6158"/>
        </w:rPr>
        <w:t>counseling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claims</w:t>
      </w:r>
      <w:r>
        <w:rPr>
          <w:color w:val="6E6158"/>
          <w:spacing w:val="37"/>
        </w:rPr>
        <w:t> </w:t>
      </w:r>
      <w:r>
        <w:rPr>
          <w:color w:val="6E6158"/>
        </w:rPr>
        <w:t>assessment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mediation,</w:t>
      </w:r>
    </w:p>
    <w:p>
      <w:pPr>
        <w:pStyle w:val="BodyText"/>
        <w:spacing w:before="1"/>
        <w:ind w:left="104"/>
      </w:pPr>
      <w:r>
        <w:rPr>
          <w:color w:val="6E6158"/>
        </w:rPr>
        <w:t>arbitration,</w:t>
      </w:r>
      <w:r>
        <w:rPr>
          <w:color w:val="6E6158"/>
          <w:spacing w:val="17"/>
        </w:rPr>
        <w:t> </w:t>
      </w:r>
      <w:r>
        <w:rPr>
          <w:color w:val="6E6158"/>
        </w:rPr>
        <w:t>and/or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 w:before="1"/>
        <w:ind w:left="104" w:right="513"/>
      </w:pPr>
      <w:r>
        <w:rPr>
          <w:color w:val="6E6158"/>
        </w:rPr>
        <w:t>While always prepared to litigate, James helps his clients navigate complex disputes with an </w:t>
      </w:r>
      <w:r>
        <w:rPr>
          <w:color w:val="6E6158"/>
        </w:rPr>
        <w:t>eye</w:t>
      </w:r>
      <w:r>
        <w:rPr>
          <w:color w:val="6E6158"/>
          <w:spacing w:val="40"/>
        </w:rPr>
        <w:t> </w:t>
      </w:r>
      <w:r>
        <w:rPr>
          <w:color w:val="6E6158"/>
        </w:rPr>
        <w:t>towards efficient outcomes and completion of their respective projects, whether residential,</w:t>
      </w:r>
      <w:r>
        <w:rPr>
          <w:color w:val="6E6158"/>
          <w:spacing w:val="40"/>
        </w:rPr>
        <w:t> </w:t>
      </w:r>
      <w:r>
        <w:rPr>
          <w:color w:val="6E6158"/>
        </w:rPr>
        <w:t>commercial property, or public works.</w:t>
      </w:r>
      <w:r>
        <w:rPr>
          <w:color w:val="6E6158"/>
          <w:spacing w:val="80"/>
        </w:rPr>
        <w:t> </w:t>
      </w:r>
      <w:r>
        <w:rPr>
          <w:color w:val="6E6158"/>
        </w:rPr>
        <w:t>His practice includes contract negotiation, preparation, and</w:t>
      </w:r>
      <w:r>
        <w:rPr>
          <w:color w:val="6E6158"/>
          <w:spacing w:val="30"/>
        </w:rPr>
        <w:t> </w:t>
      </w:r>
      <w:r>
        <w:rPr>
          <w:color w:val="6E6158"/>
        </w:rPr>
        <w:t>risk</w:t>
      </w:r>
      <w:r>
        <w:rPr>
          <w:color w:val="6E6158"/>
          <w:spacing w:val="30"/>
        </w:rPr>
        <w:t> </w:t>
      </w:r>
      <w:r>
        <w:rPr>
          <w:color w:val="6E6158"/>
        </w:rPr>
        <w:t>management.</w:t>
      </w:r>
      <w:r>
        <w:rPr>
          <w:color w:val="6E6158"/>
          <w:spacing w:val="80"/>
        </w:rPr>
        <w:t> </w:t>
      </w:r>
      <w:r>
        <w:rPr>
          <w:color w:val="6E6158"/>
        </w:rPr>
        <w:t>James</w:t>
      </w:r>
      <w:r>
        <w:rPr>
          <w:color w:val="6E6158"/>
          <w:spacing w:val="30"/>
        </w:rPr>
        <w:t> </w:t>
      </w:r>
      <w:r>
        <w:rPr>
          <w:color w:val="6E6158"/>
        </w:rPr>
        <w:t>works</w:t>
      </w:r>
      <w:r>
        <w:rPr>
          <w:color w:val="6E6158"/>
          <w:spacing w:val="30"/>
        </w:rPr>
        <w:t> </w:t>
      </w:r>
      <w:r>
        <w:rPr>
          <w:color w:val="6E6158"/>
        </w:rPr>
        <w:t>alongside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understand</w:t>
      </w:r>
      <w:r>
        <w:rPr>
          <w:color w:val="6E6158"/>
          <w:spacing w:val="30"/>
        </w:rPr>
        <w:t> </w:t>
      </w:r>
      <w:r>
        <w:rPr>
          <w:color w:val="6E6158"/>
        </w:rPr>
        <w:t>their</w:t>
      </w:r>
      <w:r>
        <w:rPr>
          <w:color w:val="6E6158"/>
          <w:spacing w:val="30"/>
        </w:rPr>
        <w:t> </w:t>
      </w:r>
      <w:r>
        <w:rPr>
          <w:color w:val="6E6158"/>
        </w:rPr>
        <w:t>needs,</w:t>
      </w:r>
      <w:r>
        <w:rPr>
          <w:color w:val="6E6158"/>
          <w:spacing w:val="30"/>
        </w:rPr>
        <w:t> </w:t>
      </w:r>
      <w:r>
        <w:rPr>
          <w:color w:val="6E6158"/>
        </w:rPr>
        <w:t>concerns and pain points and “helps things go right “so his clients can move on to their next big project or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endeavor.</w:t>
      </w:r>
    </w:p>
    <w:p>
      <w:pPr>
        <w:pStyle w:val="BodyText"/>
        <w:spacing w:line="292" w:lineRule="auto" w:before="193"/>
        <w:ind w:left="104" w:right="513"/>
      </w:pPr>
      <w:r>
        <w:rPr>
          <w:color w:val="6E6158"/>
        </w:rPr>
        <w:t>Before joining Fennemore, James represented clients in construction defect and general </w:t>
      </w:r>
      <w:r>
        <w:rPr>
          <w:color w:val="6E6158"/>
        </w:rPr>
        <w:t>civil</w:t>
      </w:r>
      <w:r>
        <w:rPr>
          <w:color w:val="6E6158"/>
          <w:spacing w:val="40"/>
        </w:rPr>
        <w:t> </w:t>
      </w:r>
      <w:r>
        <w:rPr>
          <w:color w:val="6E6158"/>
        </w:rPr>
        <w:t>litigation matters with several Bay Area law firms.</w:t>
      </w:r>
    </w:p>
    <w:p>
      <w:pPr>
        <w:pStyle w:val="BodyText"/>
        <w:spacing w:line="295" w:lineRule="auto" w:before="204"/>
        <w:ind w:left="104" w:right="746"/>
      </w:pPr>
      <w:r>
        <w:rPr>
          <w:color w:val="6E6158"/>
        </w:rPr>
        <w:t>James serves on the board of directors for Operation Dignity, a non-profit organization that</w:t>
      </w:r>
      <w:r>
        <w:rPr>
          <w:color w:val="6E6158"/>
          <w:spacing w:val="40"/>
        </w:rPr>
        <w:t> </w:t>
      </w:r>
      <w:r>
        <w:rPr>
          <w:color w:val="6E6158"/>
        </w:rPr>
        <w:t>provides housing and support services to the unhoused populations in the East Bay.</w:t>
      </w:r>
      <w:r>
        <w:rPr>
          <w:color w:val="6E6158"/>
          <w:spacing w:val="79"/>
        </w:rPr>
        <w:t> </w:t>
      </w:r>
      <w:r>
        <w:rPr>
          <w:color w:val="6E6158"/>
        </w:rPr>
        <w:t>He </w:t>
      </w:r>
      <w:r>
        <w:rPr>
          <w:color w:val="6E6158"/>
        </w:rPr>
        <w:t>often serves as an alumni coach and guest judge for UC College of the Law Moot Court intercollegiate competition teams.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1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157748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165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416114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908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Francisco (formerly UC </w:t>
      </w:r>
      <w:r>
        <w:rPr>
          <w:color w:val="6E6158"/>
        </w:rPr>
        <w:t>Hastings)</w:t>
      </w:r>
      <w:r>
        <w:rPr>
          <w:color w:val="6E6158"/>
        </w:rPr>
        <w:t> B.A., Stanford University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right="66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6pt;width:1.65pt;height:1.65pt;mso-position-horizontal-relative:page;mso-position-vertical-relative:paragraph;z-index:15730176" id="docshape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416322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303pt;width:1.65pt;height:1.65pt;mso-position-horizontal-relative:page;mso-position-vertical-relative:paragraph;z-index:15730688" id="docshape1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1200" id="docshape1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“Attorney James de los Reyes on becoming a lawyer, diversity in the profession and</w:t>
      </w:r>
      <w:r>
        <w:rPr>
          <w:color w:val="6E6158"/>
          <w:spacing w:val="40"/>
        </w:rPr>
        <w:t> </w:t>
      </w:r>
      <w:r>
        <w:rPr>
          <w:color w:val="6E6158"/>
        </w:rPr>
        <w:t>community service,” San Francisco Business Times, May 23, 2023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1712" id="docshape1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3"/>
        </w:rPr>
        <w:t> </w:t>
      </w:r>
      <w:r>
        <w:rPr>
          <w:color w:val="6E6158"/>
        </w:rPr>
        <w:t>“Meet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Donors!”</w:t>
      </w:r>
      <w:r>
        <w:rPr>
          <w:color w:val="6E6158"/>
          <w:spacing w:val="13"/>
        </w:rPr>
        <w:t> </w:t>
      </w:r>
      <w:r>
        <w:rPr>
          <w:color w:val="6E6158"/>
        </w:rPr>
        <w:t>Operation</w:t>
      </w:r>
      <w:r>
        <w:rPr>
          <w:color w:val="6E6158"/>
          <w:spacing w:val="13"/>
        </w:rPr>
        <w:t> </w:t>
      </w:r>
      <w:r>
        <w:rPr>
          <w:color w:val="6E6158"/>
        </w:rPr>
        <w:t>Dignity,</w:t>
      </w:r>
      <w:r>
        <w:rPr>
          <w:color w:val="6E6158"/>
          <w:spacing w:val="13"/>
        </w:rPr>
        <w:t> </w:t>
      </w:r>
      <w:r>
        <w:rPr>
          <w:color w:val="6E6158"/>
        </w:rPr>
        <w:t>May</w:t>
      </w:r>
      <w:r>
        <w:rPr>
          <w:color w:val="6E6158"/>
          <w:spacing w:val="13"/>
        </w:rPr>
        <w:t> </w:t>
      </w:r>
      <w:r>
        <w:rPr>
          <w:color w:val="6E6158"/>
        </w:rPr>
        <w:t>2,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9"/>
        <w:ind w:right="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255784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40503pt;width:1.65pt;height:1.65pt;mso-position-horizontal-relative:page;mso-position-vertical-relative:paragraph;z-index:15732224" id="docshape13" coordorigin="1675,403" coordsize="33,33" path="m1696,435l1687,435,1683,434,1676,427,1675,424,1675,415,1676,411,1683,404,1687,403,1696,403,1699,404,1706,411,1707,415,1707,419,1707,424,1706,427,1699,434,1696,4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Ones to Watch, Litigation – Construction, 2021-2026, </w:t>
      </w:r>
      <w:r>
        <w:rPr>
          <w:color w:val="6E6158"/>
        </w:rPr>
        <w:t>Construction Law,</w:t>
      </w:r>
      <w:r>
        <w:rPr>
          <w:color w:val="6E6158"/>
          <w:spacing w:val="40"/>
        </w:rPr>
        <w:t> </w:t>
      </w:r>
      <w:r>
        <w:rPr>
          <w:color w:val="6E6158"/>
        </w:rPr>
        <w:t>Personal</w:t>
      </w:r>
      <w:r>
        <w:rPr>
          <w:color w:val="6E6158"/>
          <w:spacing w:val="40"/>
        </w:rPr>
        <w:t> </w:t>
      </w:r>
      <w:r>
        <w:rPr>
          <w:color w:val="6E6158"/>
        </w:rPr>
        <w:t>Injury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–</w:t>
      </w:r>
      <w:r>
        <w:rPr>
          <w:color w:val="6E6158"/>
          <w:spacing w:val="40"/>
        </w:rPr>
        <w:t> </w:t>
      </w:r>
      <w:r>
        <w:rPr>
          <w:color w:val="6E6158"/>
        </w:rPr>
        <w:t>Defendants,</w:t>
      </w:r>
      <w:r>
        <w:rPr>
          <w:color w:val="6E6158"/>
          <w:spacing w:val="40"/>
        </w:rPr>
        <w:t> </w:t>
      </w:r>
      <w:r>
        <w:rPr>
          <w:color w:val="6E6158"/>
        </w:rPr>
        <w:t>2025-2026,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2026</w:t>
      </w:r>
    </w:p>
    <w:p>
      <w:pPr>
        <w:pStyle w:val="Heading1"/>
        <w:spacing w:before="28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157977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191pt;width:1.65pt;height:1.65pt;mso-position-horizontal-relative:page;mso-position-vertical-relative:paragraph;z-index:15732736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169992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237pt;width:1.65pt;height:1.65pt;mso-position-horizontal-relative:page;mso-position-vertical-relative:paragraph;z-index:15733248" id="docshape1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Judiciary</w:t>
      </w:r>
      <w:r>
        <w:rPr>
          <w:color w:val="6E6158"/>
          <w:spacing w:val="13"/>
        </w:rPr>
        <w:t> </w:t>
      </w:r>
      <w:r>
        <w:rPr>
          <w:color w:val="6E6158"/>
        </w:rPr>
        <w:t>Committee,</w:t>
      </w:r>
      <w:r>
        <w:rPr>
          <w:color w:val="6E6158"/>
          <w:spacing w:val="13"/>
        </w:rPr>
        <w:t> </w:t>
      </w:r>
      <w:r>
        <w:rPr>
          <w:color w:val="6E6158"/>
        </w:rPr>
        <w:t>Filipino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157748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123pt;width:1.65pt;height:1.65pt;mso-position-horizontal-relative:page;mso-position-vertical-relative:paragraph;z-index:15733760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174842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165pt;width:1.65pt;height:1.65pt;mso-position-horizontal-relative:page;mso-position-vertical-relative:paragraph;z-index:15734272" id="docshape1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delosreyes@fennemorelaw.com" TargetMode="External"/><Relationship Id="rId11" Type="http://schemas.openxmlformats.org/officeDocument/2006/relationships/hyperlink" Target="https://www.fennemorelaw.com/services/construction-law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2025-08-25T22:03:19Z</dcterms:created>
  <dcterms:modified xsi:type="dcterms:W3CDTF">2025-08-25T22:03:19Z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