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19" w:right="71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JAMES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GOLDEN</w:t>
                              </w:r>
                            </w:p>
                            <w:p>
                              <w:pPr>
                                <w:spacing w:before="48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jgolden@fennemorelaw.com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49.05pt;mso-position-horizontal-relative:char;mso-position-vertical-relative:line" id="docshapegroup1" coordorigin="0,0" coordsize="9554,4981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557" type="#_x0000_t75" id="docshape3" stroked="false">
                  <v:imagedata r:id="rId7" o:title=""/>
                </v:shape>
                <v:rect style="position:absolute;left:4776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19" w:right="71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JAMES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GOLDEN</w:t>
                        </w:r>
                      </w:p>
                      <w:p>
                        <w:pPr>
                          <w:spacing w:before="48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jgolden@fennemorelaw.com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8"/>
      </w:pPr>
      <w:r>
        <w:rPr>
          <w:color w:val="FF8100"/>
        </w:rPr>
        <w:t>JAMES</w:t>
      </w:r>
      <w:r>
        <w:rPr>
          <w:color w:val="FF8100"/>
          <w:spacing w:val="6"/>
        </w:rPr>
        <w:t> </w:t>
      </w:r>
      <w:r>
        <w:rPr>
          <w:color w:val="FF8100"/>
        </w:rPr>
        <w:t>C.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GOLDEN</w:t>
      </w:r>
    </w:p>
    <w:p>
      <w:pPr>
        <w:pStyle w:val="BodyText"/>
        <w:spacing w:line="297" w:lineRule="auto" w:before="147"/>
        <w:ind w:left="104" w:right="640"/>
      </w:pPr>
      <w:r>
        <w:rPr>
          <w:color w:val="6E6158"/>
        </w:rPr>
        <w:t>James C. Golden is an experienced litigator in Fennemore’s Phoenix office, helping people and</w:t>
      </w:r>
      <w:r>
        <w:rPr>
          <w:color w:val="6E6158"/>
          <w:spacing w:val="40"/>
        </w:rPr>
        <w:t> </w:t>
      </w:r>
      <w:r>
        <w:rPr>
          <w:color w:val="6E6158"/>
        </w:rPr>
        <w:t>companies navigate commercial litigation matters, probate, trust, and estate disputes,</w:t>
      </w:r>
      <w:r>
        <w:rPr>
          <w:color w:val="6E6158"/>
          <w:spacing w:val="40"/>
        </w:rPr>
        <w:t> </w:t>
      </w:r>
      <w:r>
        <w:rPr>
          <w:color w:val="6E6158"/>
        </w:rPr>
        <w:t>construction claims, partnership disputes, and various other civil litigation matters. James</w:t>
      </w:r>
      <w:r>
        <w:rPr>
          <w:color w:val="6E6158"/>
          <w:spacing w:val="40"/>
        </w:rPr>
        <w:t> </w:t>
      </w:r>
      <w:r>
        <w:rPr>
          <w:color w:val="6E6158"/>
        </w:rPr>
        <w:t>understands the financial and emotional toll of litigation and focuses on solving problems for his</w:t>
      </w:r>
      <w:r>
        <w:rPr>
          <w:color w:val="6E6158"/>
          <w:spacing w:val="40"/>
        </w:rPr>
        <w:t> </w:t>
      </w:r>
      <w:r>
        <w:rPr>
          <w:color w:val="6E6158"/>
        </w:rPr>
        <w:t>clients while aggressively pursuing their strategic and litigation goals. From initial pleadings, to</w:t>
      </w:r>
      <w:r>
        <w:rPr>
          <w:color w:val="6E6158"/>
          <w:spacing w:val="40"/>
        </w:rPr>
        <w:t> </w:t>
      </w:r>
      <w:r>
        <w:rPr>
          <w:color w:val="6E6158"/>
        </w:rPr>
        <w:t>motion</w:t>
      </w:r>
      <w:r>
        <w:rPr>
          <w:color w:val="6E6158"/>
          <w:spacing w:val="27"/>
        </w:rPr>
        <w:t> </w:t>
      </w:r>
      <w:r>
        <w:rPr>
          <w:color w:val="6E6158"/>
        </w:rPr>
        <w:t>practice,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trial,</w:t>
      </w:r>
      <w:r>
        <w:rPr>
          <w:color w:val="6E6158"/>
          <w:spacing w:val="27"/>
        </w:rPr>
        <w:t> </w:t>
      </w:r>
      <w:r>
        <w:rPr>
          <w:color w:val="6E6158"/>
        </w:rPr>
        <w:t>mediation,</w:t>
      </w:r>
      <w:r>
        <w:rPr>
          <w:color w:val="6E6158"/>
          <w:spacing w:val="27"/>
        </w:rPr>
        <w:t> </w:t>
      </w:r>
      <w:r>
        <w:rPr>
          <w:color w:val="6E6158"/>
        </w:rPr>
        <w:t>or</w:t>
      </w:r>
      <w:r>
        <w:rPr>
          <w:color w:val="6E6158"/>
          <w:spacing w:val="27"/>
        </w:rPr>
        <w:t> </w:t>
      </w:r>
      <w:r>
        <w:rPr>
          <w:color w:val="6E6158"/>
        </w:rPr>
        <w:t>arbitration,</w:t>
      </w:r>
      <w:r>
        <w:rPr>
          <w:color w:val="6E6158"/>
          <w:spacing w:val="27"/>
        </w:rPr>
        <w:t> </w:t>
      </w:r>
      <w:r>
        <w:rPr>
          <w:color w:val="6E6158"/>
        </w:rPr>
        <w:t>James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highly</w:t>
      </w:r>
      <w:r>
        <w:rPr>
          <w:color w:val="6E6158"/>
          <w:spacing w:val="27"/>
        </w:rPr>
        <w:t> </w:t>
      </w:r>
      <w:r>
        <w:rPr>
          <w:color w:val="6E6158"/>
        </w:rPr>
        <w:t>skilled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every</w:t>
      </w:r>
      <w:r>
        <w:rPr>
          <w:color w:val="6E6158"/>
          <w:spacing w:val="27"/>
        </w:rPr>
        <w:t> </w:t>
      </w:r>
      <w:r>
        <w:rPr>
          <w:color w:val="6E6158"/>
        </w:rPr>
        <w:t>phase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</w:p>
    <w:p>
      <w:pPr>
        <w:pStyle w:val="BodyText"/>
        <w:spacing w:line="225" w:lineRule="exact" w:before="0"/>
        <w:ind w:left="104"/>
      </w:pPr>
      <w:r>
        <w:rPr>
          <w:color w:val="6E6158"/>
          <w:spacing w:val="-2"/>
        </w:rPr>
        <w:t>litigation.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0"/>
        <w:ind w:left="104" w:right="640"/>
      </w:pPr>
      <w:r>
        <w:rPr>
          <w:color w:val="6E6158"/>
        </w:rPr>
        <w:t>Prior to joining Fennemore, James worked as a litigation attorney at a mid-sized Arizona firm</w:t>
      </w:r>
      <w:r>
        <w:rPr>
          <w:color w:val="6E6158"/>
          <w:spacing w:val="40"/>
        </w:rPr>
        <w:t> </w:t>
      </w:r>
      <w:r>
        <w:rPr>
          <w:color w:val="6E6158"/>
        </w:rPr>
        <w:t>specializing in commercial, construction, and estate litigation matters. There, he directly</w:t>
      </w:r>
      <w:r>
        <w:rPr>
          <w:color w:val="6E6158"/>
          <w:spacing w:val="40"/>
        </w:rPr>
        <w:t> </w:t>
      </w:r>
      <w:r>
        <w:rPr>
          <w:color w:val="6E6158"/>
        </w:rPr>
        <w:t>managed and acted as first-chair litigator on numerous matters from the outset to arbitration or</w:t>
      </w:r>
      <w:r>
        <w:rPr>
          <w:color w:val="6E6158"/>
          <w:spacing w:val="40"/>
        </w:rPr>
        <w:t> </w:t>
      </w:r>
      <w:r>
        <w:rPr>
          <w:color w:val="6E6158"/>
        </w:rPr>
        <w:t>settlement, recovering millions for his clients.</w:t>
      </w:r>
    </w:p>
    <w:p>
      <w:pPr>
        <w:pStyle w:val="BodyText"/>
        <w:spacing w:line="297" w:lineRule="auto" w:before="197"/>
        <w:ind w:left="104" w:right="640"/>
      </w:pPr>
      <w:r>
        <w:rPr>
          <w:color w:val="6E6158"/>
        </w:rPr>
        <w:t>He earned his law degree from Arizona State University, Sandra Day O’Connor College of </w:t>
      </w:r>
      <w:r>
        <w:rPr>
          <w:color w:val="6E6158"/>
        </w:rPr>
        <w:t>Law,</w:t>
      </w:r>
      <w:r>
        <w:rPr>
          <w:color w:val="6E6158"/>
          <w:spacing w:val="40"/>
        </w:rPr>
        <w:t> </w:t>
      </w:r>
      <w:r>
        <w:rPr>
          <w:color w:val="6E6158"/>
        </w:rPr>
        <w:t>where he was a member of the Jurimetrics Law Journal, Post-Conviction Relief Clinic, and the</w:t>
      </w:r>
      <w:r>
        <w:rPr>
          <w:color w:val="6E6158"/>
          <w:spacing w:val="40"/>
        </w:rPr>
        <w:t> </w:t>
      </w:r>
      <w:r>
        <w:rPr>
          <w:color w:val="6E6158"/>
        </w:rPr>
        <w:t>Homeless Law Assistance Project.</w:t>
      </w:r>
    </w:p>
    <w:p>
      <w:pPr>
        <w:pStyle w:val="BodyText"/>
        <w:spacing w:line="292" w:lineRule="auto" w:before="191"/>
        <w:ind w:left="104" w:right="386"/>
      </w:pPr>
      <w:r>
        <w:rPr>
          <w:color w:val="6E6158"/>
        </w:rPr>
        <w:t>Outside of the office, James loves traveling, cooking, appreciating the great outdoors by birding</w:t>
      </w:r>
      <w:r>
        <w:rPr>
          <w:color w:val="6E6158"/>
          <w:spacing w:val="40"/>
        </w:rPr>
        <w:t> </w:t>
      </w:r>
      <w:r>
        <w:rPr>
          <w:color w:val="6E6158"/>
        </w:rPr>
        <w:t>and rockhounding, and learning about history.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/>
        <w:ind w:left="853" w:right="2257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1378727</wp:posOffset>
                </wp:positionH>
                <wp:positionV relativeFrom="paragraph">
                  <wp:posOffset>338467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6.650967pt;width:1.65pt;height:1.65pt;mso-position-horizontal-relative:page;mso-position-vertical-relative:paragraph;z-index:15729664" id="docshape7" coordorigin="2171,533" coordsize="33,33" path="m2192,566l2183,566,2179,564,2173,558,2171,554,2171,545,2173,541,2179,535,2183,533,2192,533,2196,535,2202,541,2204,545,2204,549,2204,554,2202,558,2196,564,2192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1378727</wp:posOffset>
                </wp:positionH>
                <wp:positionV relativeFrom="paragraph">
                  <wp:posOffset>596832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46.994709pt;width:1.65pt;height:1.65pt;mso-position-horizontal-relative:page;mso-position-vertical-relative:paragraph;z-index:15730176" id="docshape8" coordorigin="2171,940" coordsize="33,33" path="m2192,972l2183,972,2179,971,2173,964,2171,961,2171,952,2173,948,2179,941,2183,940,2192,940,2196,941,2202,948,2204,952,2204,956,2204,961,2202,964,2196,971,2192,9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Jurimetrics Law Journal</w:t>
      </w:r>
    </w:p>
    <w:p>
      <w:pPr>
        <w:pStyle w:val="BodyText"/>
        <w:spacing w:before="5"/>
        <w:ind w:left="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1063521</wp:posOffset>
                </wp:positionH>
                <wp:positionV relativeFrom="paragraph">
                  <wp:posOffset>50172</wp:posOffset>
                </wp:positionV>
                <wp:extent cx="20955" cy="2095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.950567pt;width:1.65pt;height:1.65pt;mso-position-horizontal-relative:page;mso-position-vertical-relative:paragraph;z-index:-15728128;mso-wrap-distance-left:0;mso-wrap-distance-right:0" id="docshape9" coordorigin="1675,79" coordsize="33,33" path="m1696,112l1687,112,1683,110,1676,104,1675,100,1675,91,1676,87,1683,81,1687,79,1696,79,1699,81,1706,87,1707,91,1707,95,1707,100,1706,104,1699,110,1696,112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853"/>
      </w:pPr>
      <w:r>
        <w:rPr>
          <w:color w:val="6E6158"/>
        </w:rPr>
        <w:t>Post-Conviction</w:t>
      </w:r>
      <w:r>
        <w:rPr>
          <w:color w:val="6E6158"/>
          <w:spacing w:val="20"/>
        </w:rPr>
        <w:t> </w:t>
      </w:r>
      <w:r>
        <w:rPr>
          <w:color w:val="6E6158"/>
        </w:rPr>
        <w:t>Relief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Clinic</w:t>
      </w:r>
    </w:p>
    <w:p>
      <w:pPr>
        <w:pStyle w:val="BodyText"/>
        <w:spacing w:line="427" w:lineRule="auto" w:before="174"/>
        <w:ind w:right="4538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1378727</wp:posOffset>
                </wp:positionH>
                <wp:positionV relativeFrom="paragraph">
                  <wp:posOffset>175162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13.792306pt;width:1.65pt;height:1.65pt;mso-position-horizontal-relative:page;mso-position-vertical-relative:paragraph;z-index:15730688" id="docshape10" coordorigin="2171,276" coordsize="33,33" path="m2192,308l2183,308,2179,307,2173,300,2171,297,2171,288,2173,284,2179,277,2183,276,2192,276,2196,277,2202,284,2204,288,2204,292,2204,297,2202,300,2196,307,2192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433527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36047pt;width:1.65pt;height:1.65pt;mso-position-horizontal-relative:page;mso-position-vertical-relative:paragraph;z-index:15731200" id="docshape11" coordorigin="1675,683" coordsize="33,33" path="m1696,715l1687,715,1683,714,1676,707,1675,703,1675,695,1676,691,1683,684,1687,683,1696,683,1699,684,1706,691,1707,695,1707,699,1707,703,1706,707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Homeless Law Associate Assistance </w:t>
      </w:r>
      <w:r>
        <w:rPr>
          <w:color w:val="6E6158"/>
        </w:rPr>
        <w:t>Project B.A., Tufts University</w:t>
      </w:r>
    </w:p>
    <w:p>
      <w:pPr>
        <w:spacing w:before="154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2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202269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5.926737pt;width:1.65pt;height:1.65pt;mso-position-horizontal-relative:page;mso-position-vertical-relative:paragraph;z-index:15731712" id="docshape12" coordorigin="1675,319" coordsize="33,33" path="m1696,351l1687,351,1683,349,1676,343,1675,339,1675,330,1676,326,1683,320,1687,319,1696,319,1699,320,1706,326,1707,330,1707,335,1707,339,1706,343,1699,349,1696,3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Civil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8"/>
        <w:ind w:right="66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2224" id="docshape13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301633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3.750643pt;width:1.65pt;height:1.65pt;mso-position-horizontal-relative:page;mso-position-vertical-relative:paragraph;z-index:15732736" id="docshape14" coordorigin="1675,475" coordsize="33,33" path="m1696,508l1687,508,1683,506,1676,500,1675,496,1675,487,1676,483,1683,477,1687,475,1696,475,1699,477,1706,483,1707,487,1707,491,1707,496,1706,500,1699,506,1696,5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</w:t>
      </w:r>
      <w:r>
        <w:rPr>
          <w:color w:val="6E6158"/>
        </w:rPr>
        <w:t>Litigation Business Litigation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143179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3992pt;width:1.65pt;height:1.65pt;mso-position-horizontal-relative:page;mso-position-vertical-relative:paragraph;z-index:15733248" id="docshape15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/>
        <w:ind w:right="6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245449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26754pt;width:1.65pt;height:1.65pt;mso-position-horizontal-relative:page;mso-position-vertical-relative:paragraph;z-index:15733760" id="docshape16" coordorigin="1675,387" coordsize="33,33" path="m1696,419l1687,419,1683,417,1676,411,1675,407,1675,398,1676,394,1683,388,1687,387,1696,387,1699,388,1706,394,1707,398,1707,403,1707,407,1706,411,1699,417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Recovered over $700,000 on behalf of a civil contractor in arbitration against the City 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Scottsdale.</w:t>
      </w:r>
    </w:p>
    <w:p>
      <w:pPr>
        <w:pStyle w:val="BodyText"/>
        <w:spacing w:line="302" w:lineRule="auto" w:before="124"/>
        <w:ind w:right="6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601pt;width:1.65pt;height:1.65pt;mso-position-horizontal-relative:page;mso-position-vertical-relative:paragraph;z-index:15734272" id="docshape17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Defeated a multi-million dollar undue influence claim following an evidentiary hearing </w:t>
      </w:r>
      <w:r>
        <w:rPr>
          <w:color w:val="6E6158"/>
        </w:rPr>
        <w:t>in Mojave County.</w:t>
      </w:r>
    </w:p>
    <w:p>
      <w:pPr>
        <w:pStyle w:val="BodyText"/>
        <w:spacing w:line="292" w:lineRule="auto" w:before="112"/>
        <w:ind w:right="6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316909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53508pt;width:1.65pt;height:1.65pt;mso-position-horizontal-relative:page;mso-position-vertical-relative:paragraph;z-index:15734784" id="docshape18" coordorigin="1675,499" coordsize="33,33" path="m1696,532l1687,532,1683,530,1676,524,1675,520,1675,511,1676,507,1683,501,1687,499,1696,499,1699,501,1706,507,1707,511,1707,515,1707,520,1706,524,1699,530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Procured a full reversal from the Arizona Court of Appeals regarding the trial court’s grant of</w:t>
      </w:r>
      <w:r>
        <w:rPr>
          <w:color w:val="6E6158"/>
          <w:spacing w:val="40"/>
        </w:rPr>
        <w:t> </w:t>
      </w:r>
      <w:r>
        <w:rPr>
          <w:color w:val="6E6158"/>
        </w:rPr>
        <w:t>summary judgment on breach of contract, breach of the implied covenant of good faith and</w:t>
      </w:r>
      <w:r>
        <w:rPr>
          <w:color w:val="6E6158"/>
          <w:spacing w:val="40"/>
        </w:rPr>
        <w:t> </w:t>
      </w:r>
      <w:r>
        <w:rPr>
          <w:color w:val="6E6158"/>
        </w:rPr>
        <w:t>fair dealing, and nuisance claims.</w:t>
      </w:r>
    </w:p>
    <w:p>
      <w:pPr>
        <w:pStyle w:val="BodyText"/>
        <w:spacing w:line="292" w:lineRule="auto" w:before="132"/>
        <w:ind w:right="6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236614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31031pt;width:1.65pt;height:1.65pt;mso-position-horizontal-relative:page;mso-position-vertical-relative:paragraph;z-index:15735296" id="docshape19" coordorigin="1675,373" coordsize="33,33" path="m1696,405l1687,405,1683,404,1676,397,1675,393,1675,384,1676,381,1683,374,1687,373,1696,373,1699,374,1706,381,1707,384,1707,389,1707,393,1706,397,1699,404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 a Rule 38 Limited Practice Attorney, second-chaired a fraud case representing </w:t>
      </w:r>
      <w:r>
        <w:rPr>
          <w:color w:val="6E6158"/>
        </w:rPr>
        <w:t>the defendant, resulting in defense verdicts as to 11 of 21 plaintiffs.</w:t>
      </w:r>
    </w:p>
    <w:p>
      <w:pPr>
        <w:pStyle w:val="BodyText"/>
        <w:spacing w:line="302" w:lineRule="auto" w:before="124"/>
        <w:ind w:right="6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236243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1877pt;width:1.65pt;height:1.65pt;mso-position-horizontal-relative:page;mso-position-vertical-relative:paragraph;z-index:15735808" id="docshape20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Settled numerous cases on favorable terms for his clients, recovering more than $3 million</w:t>
      </w:r>
      <w:r>
        <w:rPr>
          <w:color w:val="6E6158"/>
          <w:spacing w:val="40"/>
        </w:rPr>
        <w:t> </w:t>
      </w:r>
      <w:r>
        <w:rPr>
          <w:color w:val="6E6158"/>
        </w:rPr>
        <w:t>through negotiated settlements.</w:t>
      </w: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9"/>
        <w:ind w:left="356" w:right="38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255824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143642pt;width:1.65pt;height:1.65pt;mso-position-horizontal-relative:page;mso-position-vertical-relative:paragraph;z-index:15736320" id="docshape21" coordorigin="1675,403" coordsize="33,33" path="m1696,435l1687,435,1683,434,1676,427,1675,424,1675,415,1676,411,1683,404,1687,403,1696,403,1699,404,1706,411,1707,415,1707,419,1707,424,1706,427,1699,434,1696,4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Lawyers: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Ones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to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Watch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America: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Commercial Litigation, Construction Litigation, Trusts and Estates Litigation, 2024 – 2025</w:t>
      </w:r>
    </w:p>
    <w:p>
      <w:pPr>
        <w:spacing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146005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96474pt;width:1.65pt;height:1.65pt;mso-position-horizontal-relative:page;mso-position-vertical-relative:paragraph;z-index:15736832" id="docshape22" coordorigin="1675,230" coordsize="33,33" path="m1696,262l1687,262,1683,261,1676,255,1675,251,1675,242,1676,238,1683,232,1687,230,1696,230,1699,232,1706,238,1707,242,1707,246,1707,251,1706,255,1699,261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Phoenix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Magazine, </w:t>
      </w:r>
      <w:r>
        <w:rPr>
          <w:i/>
          <w:color w:val="6E6158"/>
          <w:sz w:val="20"/>
        </w:rPr>
        <w:t>Top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47"/>
        <w:ind w:left="0"/>
        <w:rPr>
          <w:sz w:val="24"/>
        </w:rPr>
      </w:pPr>
    </w:p>
    <w:p>
      <w:pPr>
        <w:pStyle w:val="Heading2"/>
        <w:spacing w:before="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/>
        <w:ind w:right="6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245569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36205pt;width:1.65pt;height:1.65pt;mso-position-horizontal-relative:page;mso-position-vertical-relative:paragraph;z-index:15737344" id="docshape23" coordorigin="1675,387" coordsize="33,33" path="m1696,419l1687,419,1683,418,1676,411,1675,407,1675,399,1676,395,1683,388,1687,387,1696,387,1699,388,1706,395,1707,399,1707,403,1707,407,1706,411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Strategies for Managing Cost Escalation and Force Majeure </w:t>
      </w:r>
      <w:r>
        <w:rPr>
          <w:color w:val="6E6158"/>
        </w:rPr>
        <w:t>Issues,” American Subcontractors Association of Arizona, January 2025</w:t>
      </w:r>
    </w:p>
    <w:p>
      <w:pPr>
        <w:pStyle w:val="BodyText"/>
        <w:spacing w:line="302" w:lineRule="auto" w:before="124"/>
        <w:ind w:right="6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236309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7035pt;width:1.65pt;height:1.65pt;mso-position-horizontal-relative:page;mso-position-vertical-relative:paragraph;z-index:15737856" id="docshape24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Chair, “Tips and Tricks for Getting the Upper Hand in Construction Arbitrations,” Arizona </w:t>
      </w:r>
      <w:r>
        <w:rPr>
          <w:color w:val="6E6158"/>
        </w:rPr>
        <w:t>State Bar Construction Section, December 2024</w:t>
      </w:r>
    </w:p>
    <w:p>
      <w:pPr>
        <w:pStyle w:val="BodyText"/>
        <w:spacing w:line="292" w:lineRule="auto" w:before="113"/>
        <w:ind w:right="3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224017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92pt;width:1.65pt;height:1.65pt;mso-position-horizontal-relative:page;mso-position-vertical-relative:paragraph;z-index:15738368" id="docshape25" coordorigin="1675,353" coordsize="33,33" path="m1696,385l1687,385,1683,384,1676,377,1675,374,1675,365,1676,361,1683,354,1687,353,1696,353,1699,354,1706,361,1707,365,1707,369,1707,374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“Balancing Risk Through Smart Contracting in the Post-Covid Era,” Arizona </w:t>
      </w:r>
      <w:r>
        <w:rPr>
          <w:color w:val="6E6158"/>
        </w:rPr>
        <w:t>Builders Alliance, February 2023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235712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0055pt;width:1.65pt;height:1.65pt;mso-position-horizontal-relative:page;mso-position-vertical-relative:paragraph;z-index:15738880" id="docshape26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“The Darkening Storm of Cyberterrorism: International Policy Adaptation for </w:t>
      </w:r>
      <w:r>
        <w:rPr>
          <w:color w:val="6E6158"/>
        </w:rPr>
        <w:t>Automatic Cybersecurity Regulations,” 59 Jurimetrics J. 267, 2019</w:t>
      </w: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157749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1201pt;width:1.65pt;height:1.65pt;mso-position-horizontal-relative:page;mso-position-vertical-relative:paragraph;z-index:15739392" id="docshape27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416114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4942pt;width:1.65pt;height:1.65pt;mso-position-horizontal-relative:page;mso-position-vertical-relative:paragraph;z-index:15739904" id="docshape28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 Bar of Arizona, Construction Section Executive Council, 2024-2025 Term, 2025-2026 Term</w:t>
      </w:r>
      <w:r>
        <w:rPr>
          <w:color w:val="6E6158"/>
          <w:spacing w:val="40"/>
        </w:rPr>
        <w:t> </w:t>
      </w:r>
      <w:r>
        <w:rPr>
          <w:color w:val="6E6158"/>
        </w:rPr>
        <w:t>American Bar Association, Construction Section, Member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63394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1719pt;width:1.65pt;height:1.65pt;mso-position-horizontal-relative:page;mso-position-vertical-relative:paragraph;z-index:15740416" id="docshape29" coordorigin="1675,100" coordsize="33,33" path="m1696,132l1687,132,1683,131,1676,124,1675,121,1675,112,1676,108,1683,101,1687,100,1696,100,1699,101,1706,108,1707,112,1707,116,1707,121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Association,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line="420" w:lineRule="auto" w:before="174"/>
        <w:ind w:right="36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170024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87757pt;width:1.65pt;height:1.65pt;mso-position-horizontal-relative:page;mso-position-vertical-relative:paragraph;z-index:15740928" id="docshape30" coordorigin="1675,268" coordsize="33,33" path="m1696,300l1687,300,1683,299,1676,292,1675,289,1675,280,1676,276,1683,269,1687,268,1696,268,1699,269,1706,276,1707,280,1707,284,1707,289,1706,292,1699,299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433557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38397pt;width:1.65pt;height:1.65pt;mso-position-horizontal-relative:page;mso-position-vertical-relative:paragraph;z-index:15741440" id="docshape31" coordorigin="1675,683" coordsize="33,33" path="m1696,715l1687,715,1683,714,1676,707,1675,704,1675,695,1676,691,1683,684,1687,683,1696,683,1699,684,1706,691,1707,695,1707,699,1707,704,1706,707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State Bar of Arizona, Probate and Trust Section, </w:t>
      </w:r>
      <w:r>
        <w:rPr>
          <w:color w:val="6E6158"/>
        </w:rPr>
        <w:t>Member Urban Land Institute, Member</w:t>
      </w:r>
    </w:p>
    <w:p>
      <w:pPr>
        <w:pStyle w:val="Heading2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157620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1024pt;width:1.65pt;height:1.65pt;mso-position-horizontal-relative:page;mso-position-vertical-relative:paragraph;z-index:15741952" id="docshape32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120776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959pt;width:1.65pt;height:1.65pt;mso-position-horizontal-relative:page;mso-position-vertical-relative:paragraph;z-index:15742464" id="docshape33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Arizona</w:t>
      </w:r>
    </w:p>
    <w:p>
      <w:pPr>
        <w:pStyle w:val="Heading2"/>
        <w:spacing w:before="213"/>
      </w:pPr>
      <w:r>
        <w:rPr>
          <w:color w:val="FF8100"/>
          <w:spacing w:val="-2"/>
        </w:rPr>
        <w:t>LANGUAGES</w:t>
      </w:r>
    </w:p>
    <w:p>
      <w:pPr>
        <w:pStyle w:val="BodyText"/>
        <w:spacing w:line="427" w:lineRule="auto" w:before="147"/>
        <w:ind w:right="66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158098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8738pt;width:1.65pt;height:1.65pt;mso-position-horizontal-relative:page;mso-position-vertical-relative:paragraph;z-index:15742976" id="docshape34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416464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2484pt;width:1.65pt;height:1.65pt;mso-position-horizontal-relative:page;mso-position-vertical-relative:paragraph;z-index:15743488" id="docshape35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French, </w:t>
      </w:r>
      <w:r>
        <w:rPr>
          <w:color w:val="6E6158"/>
        </w:rPr>
        <w:t>Intermediate Mandarin, Basic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6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104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74"/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gold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2025-08-14T18:45:54Z</dcterms:created>
  <dcterms:modified xsi:type="dcterms:W3CDTF">2025-08-14T18:45:54Z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2025-08-14T00:00:00Z</vt:filetime>
  </property>
  <property fmtid="{D5CDD505-2E9C-101B-9397-08002B2CF9AE}" pid="5" name="Producer">
    <vt:lpwstr>Skia/PDF m117</vt:lpwstr>
  </property>
</Properties>
</file>