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KELLY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BLACK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619.595.3243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619.231.4372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kblack@fennemorelaw.com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KELLY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BLACK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619.595.3243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619.231.4372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kblack@fennemorelaw.com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KELLY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BLACK</w:t>
      </w:r>
    </w:p>
    <w:p>
      <w:pPr>
        <w:pStyle w:val="BodyText"/>
        <w:spacing w:line="302" w:lineRule="auto"/>
        <w:ind w:left="104" w:right="773"/>
      </w:pPr>
      <w:r>
        <w:rPr>
          <w:color w:val="6E6158"/>
        </w:rPr>
        <w:t>Kelly Black is a Director in Fennemore’s </w:t>
      </w:r>
      <w:hyperlink r:id="rId8">
        <w:r>
          <w:rPr>
            <w:color w:val="F5821F"/>
          </w:rPr>
          <w:t>Land Use</w:t>
        </w:r>
      </w:hyperlink>
      <w:r>
        <w:rPr>
          <w:color w:val="F5821F"/>
        </w:rPr>
        <w:t> </w:t>
      </w:r>
      <w:r>
        <w:rPr>
          <w:color w:val="6E6158"/>
        </w:rPr>
        <w:t>group. Her practice focuses primarily on land</w:t>
      </w:r>
      <w:r>
        <w:rPr>
          <w:color w:val="6E6158"/>
          <w:spacing w:val="40"/>
        </w:rPr>
        <w:t> </w:t>
      </w:r>
      <w:r>
        <w:rPr>
          <w:color w:val="6E6158"/>
        </w:rPr>
        <w:t>use,</w:t>
      </w:r>
      <w:r>
        <w:rPr>
          <w:color w:val="6E6158"/>
          <w:spacing w:val="40"/>
        </w:rPr>
        <w:t> </w:t>
      </w:r>
      <w:r>
        <w:rPr>
          <w:color w:val="6E6158"/>
        </w:rPr>
        <w:t>entitlement,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environmental</w:t>
      </w:r>
      <w:r>
        <w:rPr>
          <w:color w:val="6E6158"/>
          <w:spacing w:val="40"/>
        </w:rPr>
        <w:t> </w:t>
      </w:r>
      <w:r>
        <w:rPr>
          <w:color w:val="6E6158"/>
        </w:rPr>
        <w:t>regulatory</w:t>
      </w:r>
      <w:r>
        <w:rPr>
          <w:color w:val="6E6158"/>
          <w:spacing w:val="40"/>
        </w:rPr>
        <w:t> </w:t>
      </w:r>
      <w:r>
        <w:rPr>
          <w:color w:val="6E6158"/>
        </w:rPr>
        <w:t>issues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residential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commercial</w:t>
      </w:r>
    </w:p>
    <w:p>
      <w:pPr>
        <w:pStyle w:val="BodyText"/>
        <w:spacing w:line="224" w:lineRule="exact" w:before="0"/>
        <w:ind w:left="104"/>
      </w:pPr>
      <w:r>
        <w:rPr>
          <w:color w:val="6E6158"/>
        </w:rPr>
        <w:t>development</w:t>
      </w:r>
      <w:r>
        <w:rPr>
          <w:color w:val="6E6158"/>
          <w:spacing w:val="16"/>
        </w:rPr>
        <w:t> </w:t>
      </w:r>
      <w:r>
        <w:rPr>
          <w:color w:val="6E6158"/>
        </w:rPr>
        <w:t>projects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Southern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California.</w:t>
      </w:r>
    </w:p>
    <w:p>
      <w:pPr>
        <w:pStyle w:val="BodyText"/>
        <w:spacing w:before="14"/>
        <w:ind w:left="0"/>
      </w:pPr>
    </w:p>
    <w:p>
      <w:pPr>
        <w:pStyle w:val="BodyText"/>
        <w:spacing w:before="0"/>
        <w:ind w:left="104"/>
      </w:pPr>
      <w:r>
        <w:rPr>
          <w:color w:val="6E6158"/>
        </w:rPr>
        <w:t>Kelly</w:t>
      </w:r>
      <w:r>
        <w:rPr>
          <w:color w:val="6E6158"/>
          <w:spacing w:val="16"/>
        </w:rPr>
        <w:t> </w:t>
      </w:r>
      <w:r>
        <w:rPr>
          <w:color w:val="6E6158"/>
        </w:rPr>
        <w:t>has</w:t>
      </w:r>
      <w:r>
        <w:rPr>
          <w:color w:val="6E6158"/>
          <w:spacing w:val="16"/>
        </w:rPr>
        <w:t> </w:t>
      </w:r>
      <w:r>
        <w:rPr>
          <w:color w:val="6E6158"/>
        </w:rPr>
        <w:t>extensive</w:t>
      </w:r>
      <w:r>
        <w:rPr>
          <w:color w:val="6E6158"/>
          <w:spacing w:val="16"/>
        </w:rPr>
        <w:t> </w:t>
      </w:r>
      <w:r>
        <w:rPr>
          <w:color w:val="6E6158"/>
        </w:rPr>
        <w:t>experience</w:t>
      </w:r>
      <w:r>
        <w:rPr>
          <w:color w:val="6E6158"/>
          <w:spacing w:val="16"/>
        </w:rPr>
        <w:t> </w:t>
      </w:r>
      <w:r>
        <w:rPr>
          <w:color w:val="6E6158"/>
        </w:rPr>
        <w:t>managing</w:t>
      </w:r>
      <w:r>
        <w:rPr>
          <w:color w:val="6E6158"/>
          <w:spacing w:val="16"/>
        </w:rPr>
        <w:t> </w:t>
      </w:r>
      <w:r>
        <w:rPr>
          <w:color w:val="6E6158"/>
        </w:rPr>
        <w:t>land</w:t>
      </w:r>
      <w:r>
        <w:rPr>
          <w:color w:val="6E6158"/>
          <w:spacing w:val="16"/>
        </w:rPr>
        <w:t> </w:t>
      </w:r>
      <w:r>
        <w:rPr>
          <w:color w:val="6E6158"/>
        </w:rPr>
        <w:t>use,</w:t>
      </w:r>
      <w:r>
        <w:rPr>
          <w:color w:val="6E6158"/>
          <w:spacing w:val="17"/>
        </w:rPr>
        <w:t> </w:t>
      </w:r>
      <w:r>
        <w:rPr>
          <w:color w:val="6E6158"/>
        </w:rPr>
        <w:t>entitlement,</w:t>
      </w:r>
      <w:r>
        <w:rPr>
          <w:color w:val="6E6158"/>
          <w:spacing w:val="16"/>
        </w:rPr>
        <w:t> </w:t>
      </w:r>
      <w:r>
        <w:rPr>
          <w:color w:val="6E6158"/>
        </w:rPr>
        <w:t>environmental,</w:t>
      </w:r>
      <w:r>
        <w:rPr>
          <w:color w:val="6E6158"/>
          <w:spacing w:val="16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5" w:lineRule="auto" w:before="60"/>
        <w:ind w:left="104" w:right="616"/>
      </w:pPr>
      <w:r>
        <w:rPr>
          <w:color w:val="6E6158"/>
        </w:rPr>
        <w:t>development matters. She frequently collaborates with landowners, developers, homebuilders,</w:t>
      </w:r>
      <w:r>
        <w:rPr>
          <w:color w:val="6E6158"/>
          <w:spacing w:val="40"/>
        </w:rPr>
        <w:t> </w:t>
      </w:r>
      <w:r>
        <w:rPr>
          <w:color w:val="6E6158"/>
        </w:rPr>
        <w:t>resource agencies</w:t>
      </w:r>
      <w:r>
        <w:rPr>
          <w:color w:val="6E6158"/>
          <w:spacing w:val="80"/>
        </w:rPr>
        <w:t> </w:t>
      </w:r>
      <w:r>
        <w:rPr>
          <w:color w:val="6E6158"/>
        </w:rPr>
        <w:t>and government agencies — including the Army Corps of Engineers, California Department of Fish and Wildlife, United States Department of Fish and Wildlife and</w:t>
      </w:r>
      <w:r>
        <w:rPr>
          <w:color w:val="6E6158"/>
          <w:spacing w:val="40"/>
        </w:rPr>
        <w:t> </w:t>
      </w:r>
      <w:r>
        <w:rPr>
          <w:color w:val="6E6158"/>
        </w:rPr>
        <w:t>Caltrans—on regulatory permitting, real estate transactions, conservation mitigation measures</w:t>
      </w:r>
      <w:r>
        <w:rPr>
          <w:color w:val="6E6158"/>
          <w:spacing w:val="40"/>
        </w:rPr>
        <w:t> </w:t>
      </w:r>
      <w:r>
        <w:rPr>
          <w:color w:val="6E6158"/>
        </w:rPr>
        <w:t>and agreements and access agreements. She regularly advises clients on all aspects of the</w:t>
      </w:r>
      <w:r>
        <w:rPr>
          <w:color w:val="6E6158"/>
          <w:spacing w:val="40"/>
        </w:rPr>
        <w:t> </w:t>
      </w:r>
      <w:r>
        <w:rPr>
          <w:color w:val="6E6158"/>
        </w:rPr>
        <w:t>California Environmental Quality Act (CEQA), including the preparation and review of</w:t>
      </w:r>
      <w:r>
        <w:rPr>
          <w:color w:val="6E6158"/>
          <w:spacing w:val="40"/>
        </w:rPr>
        <w:t> </w:t>
      </w:r>
      <w:r>
        <w:rPr>
          <w:color w:val="6E6158"/>
        </w:rPr>
        <w:t>environmental</w:t>
      </w:r>
      <w:r>
        <w:rPr>
          <w:color w:val="6E6158"/>
          <w:spacing w:val="40"/>
        </w:rPr>
        <w:t> </w:t>
      </w:r>
      <w:r>
        <w:rPr>
          <w:color w:val="6E6158"/>
        </w:rPr>
        <w:t>documents,</w:t>
      </w:r>
      <w:r>
        <w:rPr>
          <w:color w:val="6E6158"/>
          <w:spacing w:val="40"/>
        </w:rPr>
        <w:t> </w:t>
      </w:r>
      <w:r>
        <w:rPr>
          <w:color w:val="6E6158"/>
        </w:rPr>
        <w:t>mitigation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monitoring</w:t>
      </w:r>
      <w:r>
        <w:rPr>
          <w:color w:val="6E6158"/>
          <w:spacing w:val="40"/>
        </w:rPr>
        <w:t> </w:t>
      </w:r>
      <w:r>
        <w:rPr>
          <w:color w:val="6E6158"/>
        </w:rPr>
        <w:t>programs,</w:t>
      </w:r>
      <w:r>
        <w:rPr>
          <w:color w:val="6E6158"/>
          <w:spacing w:val="40"/>
        </w:rPr>
        <w:t> </w:t>
      </w:r>
      <w:r>
        <w:rPr>
          <w:color w:val="6E6158"/>
        </w:rPr>
        <w:t>project-specific</w:t>
      </w:r>
      <w:r>
        <w:rPr>
          <w:color w:val="6E6158"/>
          <w:spacing w:val="40"/>
        </w:rPr>
        <w:t> </w:t>
      </w:r>
      <w:r>
        <w:rPr>
          <w:color w:val="6E6158"/>
        </w:rPr>
        <w:t>agreements and minimizing litigation exposure and risks. She is especially well-versed in the Western Riverside</w:t>
      </w:r>
      <w:r>
        <w:rPr>
          <w:color w:val="6E6158"/>
          <w:spacing w:val="40"/>
        </w:rPr>
        <w:t> </w:t>
      </w:r>
      <w:r>
        <w:rPr>
          <w:color w:val="6E6158"/>
        </w:rPr>
        <w:t>Multiple</w:t>
      </w:r>
      <w:r>
        <w:rPr>
          <w:color w:val="6E6158"/>
          <w:spacing w:val="37"/>
        </w:rPr>
        <w:t> </w:t>
      </w:r>
      <w:r>
        <w:rPr>
          <w:color w:val="6E6158"/>
        </w:rPr>
        <w:t>Species</w:t>
      </w:r>
      <w:r>
        <w:rPr>
          <w:color w:val="6E6158"/>
          <w:spacing w:val="37"/>
        </w:rPr>
        <w:t> </w:t>
      </w:r>
      <w:r>
        <w:rPr>
          <w:color w:val="6E6158"/>
        </w:rPr>
        <w:t>Habitat</w:t>
      </w:r>
      <w:r>
        <w:rPr>
          <w:color w:val="6E6158"/>
          <w:spacing w:val="37"/>
        </w:rPr>
        <w:t> </w:t>
      </w:r>
      <w:r>
        <w:rPr>
          <w:color w:val="6E6158"/>
        </w:rPr>
        <w:t>Conservation</w:t>
      </w:r>
      <w:r>
        <w:rPr>
          <w:color w:val="6E6158"/>
          <w:spacing w:val="37"/>
        </w:rPr>
        <w:t> </w:t>
      </w:r>
      <w:r>
        <w:rPr>
          <w:color w:val="6E6158"/>
        </w:rPr>
        <w:t>Plan</w:t>
      </w:r>
      <w:r>
        <w:rPr>
          <w:color w:val="6E6158"/>
          <w:spacing w:val="37"/>
        </w:rPr>
        <w:t> </w:t>
      </w:r>
      <w:r>
        <w:rPr>
          <w:color w:val="6E6158"/>
        </w:rPr>
        <w:t>(MSHCP),</w:t>
      </w:r>
      <w:r>
        <w:rPr>
          <w:color w:val="6E6158"/>
          <w:spacing w:val="37"/>
        </w:rPr>
        <w:t> </w:t>
      </w:r>
      <w:r>
        <w:rPr>
          <w:color w:val="6E6158"/>
        </w:rPr>
        <w:t>where</w:t>
      </w:r>
      <w:r>
        <w:rPr>
          <w:color w:val="6E6158"/>
          <w:spacing w:val="37"/>
        </w:rPr>
        <w:t> </w:t>
      </w:r>
      <w:r>
        <w:rPr>
          <w:color w:val="6E6158"/>
        </w:rPr>
        <w:t>she</w:t>
      </w:r>
      <w:r>
        <w:rPr>
          <w:color w:val="6E6158"/>
          <w:spacing w:val="37"/>
        </w:rPr>
        <w:t> </w:t>
      </w:r>
      <w:r>
        <w:rPr>
          <w:color w:val="6E6158"/>
        </w:rPr>
        <w:t>has</w:t>
      </w:r>
      <w:r>
        <w:rPr>
          <w:color w:val="6E6158"/>
          <w:spacing w:val="37"/>
        </w:rPr>
        <w:t> </w:t>
      </w:r>
      <w:r>
        <w:rPr>
          <w:color w:val="6E6158"/>
        </w:rPr>
        <w:t>represented</w:t>
      </w:r>
      <w:r>
        <w:rPr>
          <w:color w:val="6E6158"/>
          <w:spacing w:val="37"/>
        </w:rPr>
        <w:t> </w:t>
      </w:r>
      <w:r>
        <w:rPr>
          <w:color w:val="6E6158"/>
        </w:rPr>
        <w:t>private</w:t>
      </w:r>
    </w:p>
    <w:p>
      <w:pPr>
        <w:pStyle w:val="BodyText"/>
        <w:spacing w:line="292" w:lineRule="auto" w:before="1"/>
        <w:ind w:left="104" w:right="773"/>
      </w:pPr>
      <w:r>
        <w:rPr>
          <w:color w:val="6E6158"/>
        </w:rPr>
        <w:t>developers, both commercial and residential, on issues with MSHCP compliance </w:t>
      </w:r>
      <w:r>
        <w:rPr>
          <w:color w:val="6E6158"/>
        </w:rPr>
        <w:t>and </w:t>
      </w:r>
      <w:r>
        <w:rPr>
          <w:color w:val="6E6158"/>
          <w:spacing w:val="-2"/>
        </w:rPr>
        <w:t>conservation.</w:t>
      </w:r>
    </w:p>
    <w:p>
      <w:pPr>
        <w:pStyle w:val="BodyText"/>
        <w:spacing w:line="297" w:lineRule="auto" w:before="196"/>
        <w:ind w:left="104" w:right="773"/>
      </w:pPr>
      <w:r>
        <w:rPr>
          <w:color w:val="6E6158"/>
        </w:rPr>
        <w:t>She has served on teams providing outside General Counsel advice to agencies such as the</w:t>
      </w:r>
      <w:r>
        <w:rPr>
          <w:color w:val="6E6158"/>
          <w:spacing w:val="40"/>
        </w:rPr>
        <w:t> </w:t>
      </w:r>
      <w:r>
        <w:rPr>
          <w:color w:val="6E6158"/>
        </w:rPr>
        <w:t>Sanitation Districts of Los Angeles County, the Chino Basin Watermaster (Non-Agricultural </w:t>
      </w:r>
      <w:r>
        <w:rPr>
          <w:color w:val="6E6158"/>
        </w:rPr>
        <w:t>Pool),</w:t>
      </w:r>
      <w:r>
        <w:rPr>
          <w:color w:val="6E6158"/>
          <w:spacing w:val="40"/>
        </w:rPr>
        <w:t> </w:t>
      </w:r>
      <w:r>
        <w:rPr>
          <w:color w:val="6E6158"/>
        </w:rPr>
        <w:t>and the San Gabriel Valley Mosquito and Vector Control District. Kelly’s work includes drafting staff reports, resolutions, and CEQA findings, and advising on permitting and compliance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matters tied to Habitat Conservation Plan (HCP) requirements.</w:t>
      </w:r>
    </w:p>
    <w:p>
      <w:pPr>
        <w:pStyle w:val="BodyText"/>
        <w:spacing w:line="295" w:lineRule="auto" w:before="192"/>
        <w:ind w:left="104" w:right="773"/>
      </w:pPr>
      <w:r>
        <w:rPr>
          <w:color w:val="6E6158"/>
        </w:rPr>
        <w:t>Her legal counsel extends to Native American consultation and cultural resource preservation</w:t>
      </w:r>
      <w:r>
        <w:rPr>
          <w:color w:val="6E6158"/>
          <w:spacing w:val="40"/>
        </w:rPr>
        <w:t> </w:t>
      </w:r>
      <w:r>
        <w:rPr>
          <w:color w:val="6E6158"/>
        </w:rPr>
        <w:t>under Section 106 of the National Historic Preservation Act, California Senate Bill “SB” 18, and</w:t>
      </w:r>
      <w:r>
        <w:rPr>
          <w:color w:val="6E6158"/>
          <w:spacing w:val="40"/>
        </w:rPr>
        <w:t> </w:t>
      </w:r>
      <w:r>
        <w:rPr>
          <w:color w:val="6E6158"/>
        </w:rPr>
        <w:t>California Assembly Bill “AB” 52. Kelly frequently participates in discussions with tribal representatives and has worked extensively on developing mitigation measures, cultural</w:t>
      </w:r>
      <w:r>
        <w:rPr>
          <w:color w:val="6E6158"/>
          <w:spacing w:val="40"/>
        </w:rPr>
        <w:t> </w:t>
      </w:r>
      <w:r>
        <w:rPr>
          <w:color w:val="6E6158"/>
        </w:rPr>
        <w:t>mitigation and monitoring agreements, cultural resource preservation agreements, and other</w:t>
      </w:r>
      <w:r>
        <w:rPr>
          <w:color w:val="6E6158"/>
          <w:spacing w:val="40"/>
        </w:rPr>
        <w:t> </w:t>
      </w:r>
      <w:r>
        <w:rPr>
          <w:color w:val="6E6158"/>
        </w:rPr>
        <w:t>measures to allow for the development of property and the preservation of important </w:t>
      </w:r>
      <w:r>
        <w:rPr>
          <w:color w:val="6E6158"/>
        </w:rPr>
        <w:t>historical</w:t>
      </w:r>
      <w:r>
        <w:rPr>
          <w:color w:val="6E6158"/>
          <w:spacing w:val="40"/>
        </w:rPr>
        <w:t> </w:t>
      </w:r>
      <w:r>
        <w:rPr>
          <w:color w:val="6E6158"/>
        </w:rPr>
        <w:t>and archaeological resources.</w:t>
      </w:r>
    </w:p>
    <w:p>
      <w:pPr>
        <w:pStyle w:val="BodyText"/>
        <w:spacing w:line="292" w:lineRule="auto" w:before="199"/>
        <w:ind w:left="104" w:right="365"/>
      </w:pPr>
      <w:r>
        <w:rPr>
          <w:color w:val="6E6158"/>
        </w:rPr>
        <w:t>In addition to her practice, Kelly previously served as an adjunct professor at the University of San</w:t>
      </w:r>
      <w:r>
        <w:rPr>
          <w:color w:val="6E6158"/>
          <w:spacing w:val="40"/>
        </w:rPr>
        <w:t> </w:t>
      </w:r>
      <w:r>
        <w:rPr>
          <w:color w:val="6E6158"/>
        </w:rPr>
        <w:t>Diego</w:t>
      </w:r>
      <w:r>
        <w:rPr>
          <w:color w:val="6E6158"/>
          <w:spacing w:val="25"/>
        </w:rPr>
        <w:t> </w:t>
      </w:r>
      <w:r>
        <w:rPr>
          <w:color w:val="6E6158"/>
        </w:rPr>
        <w:t>School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Law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has</w:t>
      </w:r>
      <w:r>
        <w:rPr>
          <w:color w:val="6E6158"/>
          <w:spacing w:val="25"/>
        </w:rPr>
        <w:t> </w:t>
      </w:r>
      <w:r>
        <w:rPr>
          <w:color w:val="6E6158"/>
        </w:rPr>
        <w:t>presented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land</w:t>
      </w:r>
      <w:r>
        <w:rPr>
          <w:color w:val="6E6158"/>
          <w:spacing w:val="25"/>
        </w:rPr>
        <w:t> </w:t>
      </w:r>
      <w:r>
        <w:rPr>
          <w:color w:val="6E6158"/>
        </w:rPr>
        <w:t>use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CEQA</w:t>
      </w:r>
      <w:r>
        <w:rPr>
          <w:color w:val="6E6158"/>
          <w:spacing w:val="25"/>
        </w:rPr>
        <w:t> </w:t>
      </w:r>
      <w:r>
        <w:rPr>
          <w:color w:val="6E6158"/>
        </w:rPr>
        <w:t>topics</w:t>
      </w:r>
      <w:r>
        <w:rPr>
          <w:color w:val="6E6158"/>
          <w:spacing w:val="25"/>
        </w:rPr>
        <w:t> </w:t>
      </w:r>
      <w:r>
        <w:rPr>
          <w:color w:val="6E6158"/>
        </w:rPr>
        <w:t>through</w:t>
      </w:r>
      <w:r>
        <w:rPr>
          <w:color w:val="6E6158"/>
          <w:spacing w:val="25"/>
        </w:rPr>
        <w:t> </w:t>
      </w:r>
      <w:r>
        <w:rPr>
          <w:color w:val="6E6158"/>
        </w:rPr>
        <w:t>the environmental</w:t>
      </w:r>
      <w:r>
        <w:rPr>
          <w:color w:val="6E6158"/>
          <w:spacing w:val="17"/>
        </w:rPr>
        <w:t> </w:t>
      </w:r>
      <w:r>
        <w:rPr>
          <w:color w:val="6E6158"/>
        </w:rPr>
        <w:t>leadership</w:t>
      </w:r>
      <w:r>
        <w:rPr>
          <w:color w:val="6E6158"/>
          <w:spacing w:val="17"/>
        </w:rPr>
        <w:t> </w:t>
      </w:r>
      <w:r>
        <w:rPr>
          <w:color w:val="6E6158"/>
        </w:rPr>
        <w:t>program</w:t>
      </w:r>
      <w:r>
        <w:rPr>
          <w:color w:val="6E6158"/>
          <w:spacing w:val="17"/>
        </w:rPr>
        <w:t> </w:t>
      </w:r>
      <w:r>
        <w:rPr>
          <w:color w:val="6E6158"/>
        </w:rPr>
        <w:t>at</w:t>
      </w:r>
      <w:r>
        <w:rPr>
          <w:color w:val="6E6158"/>
          <w:spacing w:val="17"/>
        </w:rPr>
        <w:t> </w:t>
      </w:r>
      <w:r>
        <w:rPr>
          <w:color w:val="6E6158"/>
        </w:rPr>
        <w:t>California</w:t>
      </w:r>
      <w:r>
        <w:rPr>
          <w:color w:val="6E6158"/>
          <w:spacing w:val="17"/>
        </w:rPr>
        <w:t> </w:t>
      </w:r>
      <w:r>
        <w:rPr>
          <w:color w:val="6E6158"/>
        </w:rPr>
        <w:t>State</w:t>
      </w:r>
      <w:r>
        <w:rPr>
          <w:color w:val="6E6158"/>
          <w:spacing w:val="17"/>
        </w:rPr>
        <w:t> </w:t>
      </w:r>
      <w:r>
        <w:rPr>
          <w:color w:val="6E6158"/>
        </w:rPr>
        <w:t>University,</w:t>
      </w:r>
      <w:r>
        <w:rPr>
          <w:color w:val="6E6158"/>
          <w:spacing w:val="17"/>
        </w:rPr>
        <w:t> </w:t>
      </w:r>
      <w:r>
        <w:rPr>
          <w:color w:val="6E6158"/>
        </w:rPr>
        <w:t>San</w:t>
      </w:r>
      <w:r>
        <w:rPr>
          <w:color w:val="6E6158"/>
          <w:spacing w:val="17"/>
        </w:rPr>
        <w:t> </w:t>
      </w:r>
      <w:r>
        <w:rPr>
          <w:color w:val="6E6158"/>
        </w:rPr>
        <w:t>Marcos.</w:t>
      </w:r>
      <w:r>
        <w:rPr>
          <w:color w:val="6E6158"/>
          <w:spacing w:val="17"/>
        </w:rPr>
        <w:t> </w:t>
      </w:r>
      <w:r>
        <w:rPr>
          <w:color w:val="6E6158"/>
        </w:rPr>
        <w:t>She</w:t>
      </w:r>
      <w:r>
        <w:rPr>
          <w:color w:val="6E6158"/>
          <w:spacing w:val="17"/>
        </w:rPr>
        <w:t> </w:t>
      </w:r>
      <w:r>
        <w:rPr>
          <w:color w:val="6E6158"/>
        </w:rPr>
        <w:t>has</w:t>
      </w:r>
      <w:r>
        <w:rPr>
          <w:color w:val="6E6158"/>
          <w:spacing w:val="17"/>
        </w:rPr>
        <w:t> </w:t>
      </w:r>
      <w:r>
        <w:rPr>
          <w:color w:val="6E6158"/>
        </w:rPr>
        <w:t>also</w:t>
      </w:r>
      <w:r>
        <w:rPr>
          <w:color w:val="6E6158"/>
          <w:spacing w:val="17"/>
        </w:rPr>
        <w:t> </w:t>
      </w:r>
      <w:r>
        <w:rPr>
          <w:color w:val="6E6158"/>
        </w:rPr>
        <w:t>served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left="104" w:right="509"/>
      </w:pPr>
      <w:r>
        <w:rPr>
          <w:color w:val="6E6158"/>
        </w:rPr>
        <w:t>on the board of directors of Kids Included Together and the Rivers and Lands Conservancy, and</w:t>
      </w:r>
      <w:r>
        <w:rPr>
          <w:color w:val="6E6158"/>
          <w:spacing w:val="40"/>
        </w:rPr>
        <w:t> </w:t>
      </w:r>
      <w:r>
        <w:rPr>
          <w:color w:val="6E6158"/>
        </w:rPr>
        <w:t>she remains active in the local legal and civic community.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152612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26pt;width:1.65pt;height:1.65pt;mso-position-horizontal-relative:page;mso-position-vertical-relative:paragraph;z-index:15729664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10"/>
        </w:rPr>
        <w:t> </w:t>
      </w:r>
      <w:r>
        <w:rPr>
          <w:color w:val="6E6158"/>
        </w:rPr>
        <w:t>Diego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63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174874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645pt;width:1.65pt;height:1.65pt;mso-position-horizontal-relative:page;mso-position-vertical-relative:paragraph;z-index:15730176" id="docshape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7"/>
        </w:rPr>
        <w:t> </w:t>
      </w:r>
      <w:r>
        <w:rPr>
          <w:color w:val="6E6158"/>
        </w:rPr>
        <w:t>Washington</w:t>
      </w:r>
      <w:r>
        <w:rPr>
          <w:color w:val="6E6158"/>
          <w:spacing w:val="7"/>
        </w:rPr>
        <w:t> </w:t>
      </w:r>
      <w:r>
        <w:rPr>
          <w:color w:val="6E6158"/>
        </w:rPr>
        <w:t>University,</w:t>
      </w:r>
      <w:r>
        <w:rPr>
          <w:color w:val="6E6158"/>
          <w:spacing w:val="8"/>
        </w:rPr>
        <w:t> </w:t>
      </w:r>
      <w:r>
        <w:rPr>
          <w:color w:val="6E6158"/>
        </w:rPr>
        <w:t>St.</w:t>
      </w:r>
      <w:r>
        <w:rPr>
          <w:color w:val="6E6158"/>
          <w:spacing w:val="7"/>
        </w:rPr>
        <w:t> </w:t>
      </w:r>
      <w:r>
        <w:rPr>
          <w:color w:val="6E6158"/>
        </w:rPr>
        <w:t>Louis,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9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157932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619pt;width:1.65pt;height:1.65pt;mso-position-horizontal-relative:page;mso-position-vertical-relative:paragraph;z-index:15730688" id="docshape9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line="420" w:lineRule="auto" w:before="182"/>
        <w:ind w:right="56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175027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662pt;width:1.65pt;height:1.65pt;mso-position-horizontal-relative:page;mso-position-vertical-relative:paragraph;z-index:15731200" id="docshape10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433392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5412pt;width:1.65pt;height:1.65pt;mso-position-horizontal-relative:page;mso-position-vertical-relative:paragraph;z-index:15731712" id="docshape11" coordorigin="1675,683" coordsize="33,33" path="m1696,715l1687,715,1683,713,1676,707,1675,703,1675,694,1676,690,1683,684,1687,683,1696,683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Relations &amp; </w:t>
      </w:r>
      <w:r>
        <w:rPr>
          <w:color w:val="6E6158"/>
        </w:rPr>
        <w:t>Regulatory Real Estate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146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245386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18pt;width:1.65pt;height:1.65pt;mso-position-horizontal-relative:page;mso-position-vertical-relative:paragraph;z-index:15732224" id="docshape12" coordorigin="1675,386" coordsize="33,33" path="m1696,419l1687,419,1683,417,1676,411,1675,407,1675,398,1676,394,1683,388,1687,386,1696,386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Led the team on entitlement of a 2,200 Acre Master Planned Community in the City of</w:t>
      </w:r>
      <w:r>
        <w:rPr>
          <w:color w:val="6E6158"/>
          <w:spacing w:val="40"/>
        </w:rPr>
        <w:t> </w:t>
      </w:r>
      <w:r>
        <w:rPr>
          <w:color w:val="6E6158"/>
        </w:rPr>
        <w:t>Coachella, California</w:t>
      </w:r>
    </w:p>
    <w:p>
      <w:pPr>
        <w:pStyle w:val="BodyText"/>
        <w:spacing w:line="292" w:lineRule="auto" w:before="132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236126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2649pt;width:1.65pt;height:1.65pt;mso-position-horizontal-relative:page;mso-position-vertical-relative:paragraph;z-index:15732736" id="docshape13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entitlements and CEQA mitigation and monitoring measures for a 972-</w:t>
      </w:r>
      <w:r>
        <w:rPr>
          <w:color w:val="6E6158"/>
        </w:rPr>
        <w:t>acre specific plan in the City of Murrieta, California</w:t>
      </w:r>
    </w:p>
    <w:p>
      <w:pPr>
        <w:pStyle w:val="BodyText"/>
        <w:spacing w:before="123" w:after="7"/>
      </w:pPr>
      <w:r>
        <w:rPr>
          <w:color w:val="6E6158"/>
        </w:rPr>
        <w:t>Negotiated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Cultural</w:t>
      </w:r>
      <w:r>
        <w:rPr>
          <w:color w:val="6E6158"/>
          <w:spacing w:val="14"/>
        </w:rPr>
        <w:t> </w:t>
      </w:r>
      <w:r>
        <w:rPr>
          <w:color w:val="6E6158"/>
        </w:rPr>
        <w:t>Resources</w:t>
      </w:r>
      <w:r>
        <w:rPr>
          <w:color w:val="6E6158"/>
          <w:spacing w:val="14"/>
        </w:rPr>
        <w:t> </w:t>
      </w:r>
      <w:r>
        <w:rPr>
          <w:color w:val="6E6158"/>
        </w:rPr>
        <w:t>Management</w:t>
      </w:r>
      <w:r>
        <w:rPr>
          <w:color w:val="6E6158"/>
          <w:spacing w:val="14"/>
        </w:rPr>
        <w:t> </w:t>
      </w:r>
      <w:r>
        <w:rPr>
          <w:color w:val="6E6158"/>
        </w:rPr>
        <w:t>Plan,</w:t>
      </w:r>
      <w:r>
        <w:rPr>
          <w:color w:val="6E6158"/>
          <w:spacing w:val="15"/>
        </w:rPr>
        <w:t> </w:t>
      </w:r>
      <w:r>
        <w:rPr>
          <w:color w:val="6E6158"/>
        </w:rPr>
        <w:t>Tribal</w:t>
      </w:r>
      <w:r>
        <w:rPr>
          <w:color w:val="6E6158"/>
          <w:spacing w:val="14"/>
        </w:rPr>
        <w:t> </w:t>
      </w:r>
      <w:r>
        <w:rPr>
          <w:color w:val="6E6158"/>
        </w:rPr>
        <w:t>Mitigation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Monitoring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14" coordorigin="0,0" coordsize="33,33">
                <v:shape style="position:absolute;left:0;top:0;width:33;height:33" id="docshape15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Agreement,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other</w:t>
      </w:r>
      <w:r>
        <w:rPr>
          <w:color w:val="6E6158"/>
          <w:spacing w:val="10"/>
        </w:rPr>
        <w:t> </w:t>
      </w:r>
      <w:r>
        <w:rPr>
          <w:color w:val="6E6158"/>
        </w:rPr>
        <w:t>measures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specific</w:t>
      </w:r>
      <w:r>
        <w:rPr>
          <w:color w:val="6E6158"/>
          <w:spacing w:val="10"/>
        </w:rPr>
        <w:t> </w:t>
      </w:r>
      <w:r>
        <w:rPr>
          <w:color w:val="6E6158"/>
        </w:rPr>
        <w:t>plan</w:t>
      </w:r>
      <w:r>
        <w:rPr>
          <w:color w:val="6E6158"/>
          <w:spacing w:val="10"/>
        </w:rPr>
        <w:t> </w:t>
      </w:r>
      <w:r>
        <w:rPr>
          <w:color w:val="6E6158"/>
        </w:rPr>
        <w:t>project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City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Temecula,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California.</w:t>
      </w:r>
    </w:p>
    <w:p>
      <w:pPr>
        <w:pStyle w:val="BodyText"/>
        <w:spacing w:line="292" w:lineRule="auto" w:before="182"/>
        <w:ind w:right="3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267887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542pt;width:1.65pt;height:1.65pt;mso-position-horizontal-relative:page;mso-position-vertical-relative:paragraph;z-index:15733248" id="docshape16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entitled over 4 million square feet of industrial and warehouse uses across multiple</w:t>
      </w:r>
      <w:r>
        <w:rPr>
          <w:color w:val="6E6158"/>
          <w:spacing w:val="40"/>
        </w:rPr>
        <w:t> </w:t>
      </w:r>
      <w:r>
        <w:rPr>
          <w:color w:val="6E6158"/>
        </w:rPr>
        <w:t>projects in the Town of Apple Valley, California.</w:t>
      </w:r>
    </w:p>
    <w:p>
      <w:pPr>
        <w:pStyle w:val="BodyText"/>
        <w:spacing w:line="302" w:lineRule="auto" w:before="123"/>
        <w:ind w:right="6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235767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4392pt;width:1.65pt;height:1.65pt;mso-position-horizontal-relative:page;mso-position-vertical-relative:paragraph;z-index:15733760" id="docshape17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a biological conservation easement that included tribal resource </w:t>
      </w:r>
      <w:r>
        <w:rPr>
          <w:color w:val="6E6158"/>
        </w:rPr>
        <w:t>preservation measures for a residential project in the City of Murieta, California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157804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5526pt;width:1.65pt;height:1.65pt;mso-position-horizontal-relative:page;mso-position-vertical-relative:paragraph;z-index:15734272" id="docshape18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California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174898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1564pt;width:1.65pt;height:1.65pt;mso-position-horizontal-relative:page;mso-position-vertical-relative:paragraph;z-index:15734784" id="docshape1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2"/>
        </w:rPr>
        <w:t> </w:t>
      </w:r>
      <w:r>
        <w:rPr>
          <w:color w:val="6E6158"/>
        </w:rPr>
        <w:t>Board</w:t>
      </w:r>
      <w:r>
        <w:rPr>
          <w:color w:val="6E6158"/>
          <w:spacing w:val="12"/>
        </w:rPr>
        <w:t> </w:t>
      </w:r>
      <w:r>
        <w:rPr>
          <w:color w:val="6E6158"/>
        </w:rPr>
        <w:t>President,</w:t>
      </w:r>
      <w:r>
        <w:rPr>
          <w:color w:val="6E6158"/>
          <w:spacing w:val="13"/>
        </w:rPr>
        <w:t> </w:t>
      </w:r>
      <w:r>
        <w:rPr>
          <w:color w:val="6E6158"/>
        </w:rPr>
        <w:t>Kids</w:t>
      </w:r>
      <w:r>
        <w:rPr>
          <w:color w:val="6E6158"/>
          <w:spacing w:val="12"/>
        </w:rPr>
        <w:t> </w:t>
      </w:r>
      <w:r>
        <w:rPr>
          <w:color w:val="6E6158"/>
        </w:rPr>
        <w:t>Included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Together</w:t>
      </w:r>
    </w:p>
    <w:p>
      <w:pPr>
        <w:pStyle w:val="BodyText"/>
        <w:spacing w:line="427" w:lineRule="auto" w:before="173"/>
        <w:ind w:right="23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174848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7626pt;width:1.65pt;height:1.65pt;mso-position-horizontal-relative:page;mso-position-vertical-relative:paragraph;z-index:15735296" id="docshape20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433214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137pt;width:1.65pt;height:1.65pt;mso-position-horizontal-relative:page;mso-position-vertical-relative:paragraph;z-index:15735808" id="docshape21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Community Advisory Board, Safe Alternatives for </w:t>
      </w:r>
      <w:r>
        <w:rPr>
          <w:color w:val="6E6158"/>
        </w:rPr>
        <w:t>Everyone Past Member, Board of Directors, Riverside Land Conservancy</w:t>
      </w:r>
    </w:p>
    <w:p>
      <w:pPr>
        <w:pStyle w:val="Heading1"/>
        <w:spacing w:before="154"/>
        <w:ind w:left="0" w:right="8034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54" w:right="803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158013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203pt;width:1.65pt;height:1.65pt;mso-position-horizontal-relative:page;mso-position-vertical-relative:paragraph;z-index:15736320" id="docshape2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line="427" w:lineRule="auto"/>
        <w:ind w:right="65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157747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03pt;width:1.65pt;height:1.65pt;mso-position-horizontal-relative:page;mso-position-vertical-relative:paragraph;z-index:15736832" id="docshape2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416112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4774pt;width:1.65pt;height:1.65pt;mso-position-horizontal-relative:page;mso-position-vertical-relative:paragraph;z-index:15737344" id="docshape2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Spanish, </w:t>
      </w:r>
      <w:r>
        <w:rPr>
          <w:color w:val="6E6158"/>
        </w:rPr>
        <w:t>Conversational French, Conversational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kblack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2025-08-20T20:20:33Z</dcterms:created>
  <dcterms:modified xsi:type="dcterms:W3CDTF">2025-08-20T20:20:33Z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2025-08-20T00:00:00Z</vt:filetime>
  </property>
  <property fmtid="{D5CDD505-2E9C-101B-9397-08002B2CF9AE}" pid="5" name="Producer">
    <vt:lpwstr>Skia/PDF m117</vt:lpwstr>
  </property>
</Properties>
</file>