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41735" y="763308"/>
                            <a:ext cx="142938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KIMBERLY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ARANA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43691" y="2133494"/>
                            <a:ext cx="425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9785" y="2500373"/>
                            <a:ext cx="1452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1;top:1762;width:225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KIMBERLY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ARANA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81;top:3919;width:670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520.281.3495</w:t>
                        </w:r>
                      </w:p>
                    </w:txbxContent>
                  </v:textbox>
                  <w10:wrap type="none"/>
                </v:shape>
                <v:shape style="position:absolute;left:7372;top:4497;width:228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KIMBERLY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302" w:lineRule="auto" w:before="146"/>
        <w:ind w:left="104" w:right="397"/>
      </w:pPr>
      <w:r>
        <w:rPr>
          <w:color w:val="6E6158"/>
        </w:rPr>
        <w:t>Kim Arana’s practice focuses on agricultural, international, and corporate law. She is the </w:t>
      </w:r>
      <w:r>
        <w:rPr>
          <w:color w:val="6E6158"/>
        </w:rPr>
        <w:t>Chair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Agribusiness</w:t>
      </w:r>
      <w:r>
        <w:rPr>
          <w:color w:val="6E6158"/>
          <w:spacing w:val="27"/>
        </w:rPr>
        <w:t> </w:t>
      </w:r>
      <w:r>
        <w:rPr>
          <w:color w:val="6E6158"/>
        </w:rPr>
        <w:t>Industry</w:t>
      </w:r>
      <w:r>
        <w:rPr>
          <w:color w:val="6E6158"/>
          <w:spacing w:val="27"/>
        </w:rPr>
        <w:t> </w:t>
      </w:r>
      <w:r>
        <w:rPr>
          <w:color w:val="6E6158"/>
        </w:rPr>
        <w:t>Group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five-year</w:t>
      </w:r>
      <w:r>
        <w:rPr>
          <w:color w:val="6E6158"/>
          <w:spacing w:val="27"/>
        </w:rPr>
        <w:t> </w:t>
      </w:r>
      <w:r>
        <w:rPr>
          <w:color w:val="6E6158"/>
        </w:rPr>
        <w:t>term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member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</w:p>
    <w:p>
      <w:pPr>
        <w:pStyle w:val="BodyText"/>
        <w:spacing w:line="295" w:lineRule="auto"/>
        <w:ind w:left="104" w:right="397"/>
      </w:pPr>
      <w:r>
        <w:rPr>
          <w:color w:val="6E6158"/>
        </w:rPr>
        <w:t>Management Committee.</w:t>
      </w:r>
      <w:r>
        <w:rPr>
          <w:color w:val="6E6158"/>
          <w:spacing w:val="80"/>
        </w:rPr>
        <w:t> </w:t>
      </w:r>
      <w:r>
        <w:rPr>
          <w:color w:val="6E6158"/>
        </w:rPr>
        <w:t>This seasoned business attorney especially enjoys the opportunity </w:t>
      </w:r>
      <w:r>
        <w:rPr>
          <w:color w:val="6E6158"/>
        </w:rPr>
        <w:t>to help her clients with cross-border business transactions and business dealings in the U.S. and in</w:t>
      </w:r>
      <w:r>
        <w:rPr>
          <w:color w:val="6E6158"/>
          <w:spacing w:val="40"/>
        </w:rPr>
        <w:t> </w:t>
      </w:r>
      <w:r>
        <w:rPr>
          <w:color w:val="6E6158"/>
        </w:rPr>
        <w:t>Mexico. Kim also counsels businesses involved in the growing and distribution of perishable</w:t>
      </w:r>
      <w:r>
        <w:rPr>
          <w:color w:val="6E6158"/>
          <w:spacing w:val="40"/>
        </w:rPr>
        <w:t>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</w:rPr>
        <w:t>commodities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maquiladora</w:t>
      </w:r>
      <w:r>
        <w:rPr>
          <w:color w:val="6E6158"/>
          <w:spacing w:val="40"/>
        </w:rPr>
        <w:t> </w:t>
      </w:r>
      <w:r>
        <w:rPr>
          <w:color w:val="6E6158"/>
        </w:rPr>
        <w:t>(twin</w:t>
      </w:r>
      <w:r>
        <w:rPr>
          <w:color w:val="6E6158"/>
          <w:spacing w:val="40"/>
        </w:rPr>
        <w:t> </w:t>
      </w:r>
      <w:r>
        <w:rPr>
          <w:color w:val="6E6158"/>
        </w:rPr>
        <w:t>plant)</w:t>
      </w:r>
      <w:r>
        <w:rPr>
          <w:color w:val="6E6158"/>
          <w:spacing w:val="40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2" w:lineRule="auto" w:before="188"/>
        <w:ind w:left="104" w:right="141"/>
      </w:pPr>
      <w:r>
        <w:rPr>
          <w:color w:val="6E6158"/>
        </w:rPr>
        <w:t>Kim has been a resident of Nogales since 1982 when she moved to the area to join her husband.</w:t>
      </w:r>
      <w:r>
        <w:rPr>
          <w:color w:val="6E6158"/>
          <w:spacing w:val="40"/>
        </w:rPr>
        <w:t> </w:t>
      </w:r>
      <w:r>
        <w:rPr>
          <w:color w:val="6E6158"/>
        </w:rPr>
        <w:t>She quickly became a part of the fabric of the community, especially the business community,</w:t>
      </w:r>
      <w:r>
        <w:rPr>
          <w:color w:val="6E6158"/>
          <w:spacing w:val="40"/>
        </w:rPr>
        <w:t> </w:t>
      </w:r>
      <w:r>
        <w:rPr>
          <w:color w:val="6E6158"/>
        </w:rPr>
        <w:t>after joining us in 1999. Fluent in Spanish, this business attorney regularly works in conjunction with</w:t>
      </w:r>
      <w:r>
        <w:rPr>
          <w:color w:val="6E6158"/>
          <w:spacing w:val="40"/>
        </w:rPr>
        <w:t> </w:t>
      </w:r>
      <w:r>
        <w:rPr>
          <w:color w:val="6E6158"/>
        </w:rPr>
        <w:t>Mexican counsel to prepare agreements for international commercial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secured transactions. In addition to her background negotiating cross-border deals, this Arizona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lawyer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also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expert</w:t>
      </w:r>
      <w:r>
        <w:rPr>
          <w:color w:val="6E6158"/>
          <w:spacing w:val="30"/>
        </w:rPr>
        <w:t> </w:t>
      </w:r>
      <w:r>
        <w:rPr>
          <w:color w:val="6E6158"/>
        </w:rPr>
        <w:t>negotiator</w:t>
      </w:r>
      <w:r>
        <w:rPr>
          <w:color w:val="6E6158"/>
          <w:spacing w:val="30"/>
        </w:rPr>
        <w:t> </w:t>
      </w:r>
      <w:r>
        <w:rPr>
          <w:color w:val="6E6158"/>
        </w:rPr>
        <w:t>who</w:t>
      </w:r>
      <w:r>
        <w:rPr>
          <w:color w:val="6E6158"/>
          <w:spacing w:val="30"/>
        </w:rPr>
        <w:t> </w:t>
      </w:r>
      <w:r>
        <w:rPr>
          <w:color w:val="6E6158"/>
        </w:rPr>
        <w:t>balances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Sun</w:t>
      </w:r>
      <w:r>
        <w:rPr>
          <w:color w:val="6E6158"/>
          <w:spacing w:val="30"/>
        </w:rPr>
        <w:t> </w:t>
      </w:r>
      <w:r>
        <w:rPr>
          <w:color w:val="6E6158"/>
        </w:rPr>
        <w:t>Devils-Wildcats</w:t>
      </w:r>
      <w:r>
        <w:rPr>
          <w:color w:val="6E6158"/>
          <w:spacing w:val="30"/>
        </w:rPr>
        <w:t> </w:t>
      </w:r>
      <w:r>
        <w:rPr>
          <w:color w:val="6E6158"/>
        </w:rPr>
        <w:t>rivalry</w:t>
      </w:r>
      <w:r>
        <w:rPr>
          <w:color w:val="6E6158"/>
          <w:spacing w:val="30"/>
        </w:rPr>
        <w:t> </w:t>
      </w:r>
      <w:r>
        <w:rPr>
          <w:color w:val="6E6158"/>
        </w:rPr>
        <w:t>under one roof; having earned her Bachelor of Arts degree in Spanish,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from</w:t>
      </w:r>
    </w:p>
    <w:p>
      <w:pPr>
        <w:pStyle w:val="BodyText"/>
        <w:spacing w:before="5"/>
        <w:ind w:left="104"/>
      </w:pP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followed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Juris</w:t>
      </w:r>
      <w:r>
        <w:rPr>
          <w:color w:val="6E6158"/>
          <w:spacing w:val="11"/>
        </w:rPr>
        <w:t> </w:t>
      </w:r>
      <w:r>
        <w:rPr>
          <w:color w:val="6E6158"/>
        </w:rPr>
        <w:t>Doctor</w:t>
      </w:r>
      <w:r>
        <w:rPr>
          <w:color w:val="6E6158"/>
          <w:spacing w:val="12"/>
        </w:rPr>
        <w:t> </w:t>
      </w:r>
      <w:r>
        <w:rPr>
          <w:color w:val="6E6158"/>
        </w:rPr>
        <w:t>degree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Arizona’s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James</w:t>
      </w:r>
    </w:p>
    <w:p>
      <w:pPr>
        <w:pStyle w:val="BodyText"/>
        <w:spacing w:before="52"/>
        <w:ind w:left="104"/>
      </w:pPr>
      <w:r>
        <w:rPr>
          <w:color w:val="6E6158"/>
        </w:rPr>
        <w:t>E.</w:t>
      </w:r>
      <w:r>
        <w:rPr>
          <w:color w:val="6E6158"/>
          <w:spacing w:val="9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Law.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271"/>
        <w:jc w:val="both"/>
      </w:pPr>
      <w:r>
        <w:rPr>
          <w:color w:val="6E6158"/>
        </w:rPr>
        <w:t>Outside of work, Kim enjoys spending ample time with her five children and grandchildren. She uses her weekends to focus on cooking and being active by golfing, biking, playing tennis, </w:t>
      </w:r>
      <w:r>
        <w:rPr>
          <w:color w:val="6E6158"/>
        </w:rPr>
        <w:t>and </w:t>
      </w:r>
      <w:r>
        <w:rPr>
          <w:color w:val="6E6158"/>
          <w:spacing w:val="-2"/>
        </w:rPr>
        <w:t>hiking.</w:t>
      </w:r>
    </w:p>
    <w:p>
      <w:pPr>
        <w:pStyle w:val="Heading2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6" w:lineRule="exact" w:before="13"/>
        <w:ind w:left="356" w:right="332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38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508938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073868pt;width:1.65pt;height:1.65pt;mso-position-horizontal-relative:page;mso-position-vertical-relative:paragraph;z-index:15729664" id="docshape12" coordorigin="1675,801" coordsize="33,33" path="m1696,834l1687,834,1683,832,1676,826,1675,822,1675,813,1676,809,1683,803,1687,801,1696,801,1699,803,1706,809,1707,813,1707,818,1707,822,1706,826,1699,832,1696,8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Spanish, Arizona State University,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before="21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72907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40739pt;width:1.65pt;height:1.65pt;mso-position-horizontal-relative:page;mso-position-vertical-relative:paragraph;z-index:15730176" id="docshape13" coordorigin="2171,115" coordsize="33,33" path="m2192,147l2183,147,2179,146,2173,139,2171,136,2171,127,2173,123,2179,116,2183,115,2192,115,2196,116,2202,123,2204,127,2204,131,2204,136,2202,139,2196,146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7"/>
        </w:rPr>
        <w:t> </w:t>
      </w:r>
      <w:r>
        <w:rPr>
          <w:color w:val="6E6158"/>
        </w:rPr>
        <w:t>Beta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41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59902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736pt;width:1.65pt;height:1.65pt;mso-position-horizontal-relative:page;mso-position-vertical-relative:paragraph;z-index:15730688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International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6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712" id="docshape1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2224" id="docshape17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 </w:t>
      </w:r>
      <w:r>
        <w:rPr>
          <w:color w:val="6E6158"/>
          <w:spacing w:val="-2"/>
        </w:rPr>
        <w:t>Agribusiness</w:t>
      </w:r>
    </w:p>
    <w:p>
      <w:pPr>
        <w:pStyle w:val="Heading2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168374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867pt;width:1.65pt;height:1.65pt;mso-position-horizontal-relative:page;mso-position-vertical-relative:paragraph;z-index:15732736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International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183897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0091pt;width:1.65pt;height:1.65pt;mso-position-horizontal-relative:page;mso-position-vertical-relative:paragraph;z-index:15733248" id="docshape19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left="356" w:right="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250893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5392pt;width:1.65pt;height:1.65pt;mso-position-horizontal-relative:page;mso-position-vertical-relative:paragraph;z-index:15733760" id="docshape20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1">
        <w:r>
          <w:rPr>
            <w:color w:val="F5821F"/>
          </w:rPr>
          <w:t>A conversation with Kim Arana about Fennemore’s cross-border </w:t>
        </w:r>
        <w:r>
          <w:rPr>
            <w:color w:val="F5821F"/>
          </w:rPr>
          <w:t>agribusiness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practice</w:t>
        </w:r>
      </w:hyperlink>
      <w:r>
        <w:rPr>
          <w:color w:val="6E6158"/>
        </w:rPr>
        <w:t>,” Fennemore Blog, March 28, 2024</w:t>
      </w:r>
    </w:p>
    <w:p>
      <w:pPr>
        <w:pStyle w:val="BodyText"/>
        <w:spacing w:line="292" w:lineRule="auto" w:before="12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230750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365pt;width:1.65pt;height:1.65pt;mso-position-horizontal-relative:page;mso-position-vertical-relative:paragraph;z-index:15734272" id="docshape2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 “At the Crossroads of International Trade Between the United States and Mexico,”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Fennemore Blog, March 25, 2021</w:t>
        </w:r>
      </w:hyperlink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143084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462pt;width:1.65pt;height:1.65pt;mso-position-horizontal-relative:page;mso-position-vertical-relative:paragraph;z-index:15734784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262715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256pt;width:1.65pt;height:1.65pt;mso-position-horizontal-relative:page;mso-position-vertical-relative:paragraph;z-index:15735296" id="docshape23" coordorigin="1675,414" coordsize="33,33" path="m1696,446l1687,446,1683,445,1676,438,1675,434,1675,426,1676,422,1683,415,1687,414,1696,414,1699,415,1706,422,1707,426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“New Tomato Suspension Agreement Signed,” Fennemore Client Alert, October </w:t>
        </w:r>
        <w:r>
          <w:rPr>
            <w:color w:val="FF8100"/>
          </w:rPr>
          <w:t>16,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2019</w:t>
        </w:r>
      </w:hyperlink>
    </w:p>
    <w:p>
      <w:pPr>
        <w:pStyle w:val="Heading2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157851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214pt;width:1.65pt;height:1.65pt;mso-position-horizontal-relative:page;mso-position-vertical-relative:paragraph;z-index:15735808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257pt;width:1.65pt;height:1.65pt;mso-position-horizontal-relative:page;mso-position-vertical-relative:paragraph;z-index:15736320" id="docshape25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Cruz</w:t>
      </w:r>
      <w:r>
        <w:rPr>
          <w:color w:val="6E6158"/>
          <w:spacing w:val="8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174982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176pt;width:1.65pt;height:1.65pt;mso-position-horizontal-relative:page;mso-position-vertical-relative:paragraph;z-index:15736832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Student</w:t>
      </w:r>
      <w:r>
        <w:rPr>
          <w:color w:val="6E6158"/>
          <w:spacing w:val="11"/>
        </w:rPr>
        <w:t> </w:t>
      </w:r>
      <w:r>
        <w:rPr>
          <w:color w:val="6E6158"/>
        </w:rPr>
        <w:t>Division,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157571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186pt;width:1.65pt;height:1.65pt;mso-position-horizontal-relative:page;mso-position-vertical-relative:paragraph;z-index:15737344" id="docshape2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175300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24pt;width:1.65pt;height:1.65pt;mso-position-horizontal-relative:page;mso-position-vertical-relative:paragraph;z-index:15737856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175338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58pt;width:1.65pt;height:1.65pt;mso-position-horizontal-relative:page;mso-position-vertical-relative:paragraph;z-index:15738368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97pt;width:1.65pt;height:1.65pt;mso-position-horizontal-relative:page;mso-position-vertical-relative:paragraph;z-index:15738880" id="docshape3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234pt;width:1.65pt;height:1.65pt;mso-position-horizontal-relative:page;mso-position-vertical-relative:paragraph;z-index:15739392" id="docshape3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258pt;width:1.65pt;height:1.65pt;mso-position-horizontal-relative:page;mso-position-vertical-relative:paragraph;z-index:15739904" id="docshape32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nogales/" TargetMode="External"/><Relationship Id="rId10" Type="http://schemas.openxmlformats.org/officeDocument/2006/relationships/hyperlink" Target="mailto:karana@fennemorelaw.com" TargetMode="External"/><Relationship Id="rId11" Type="http://schemas.openxmlformats.org/officeDocument/2006/relationships/hyperlink" Target="https://www.fennemorelaw.com/a-conversation-with-kim-arana-about-fennemores-cross-border-agribusiness-practice/" TargetMode="External"/><Relationship Id="rId12" Type="http://schemas.openxmlformats.org/officeDocument/2006/relationships/hyperlink" Target="https://www.fennemorelaw.com/insights/blogs/2021/at-the-crossroads-of-international-trade-between-the-united-states-and-mexico" TargetMode="External"/><Relationship Id="rId13" Type="http://schemas.openxmlformats.org/officeDocument/2006/relationships/hyperlink" Target="https://www.fennemorelaw.com/insights/blogs/2021/let-s-celebrate-random-acts-of-kindness-day" TargetMode="External"/><Relationship Id="rId14" Type="http://schemas.openxmlformats.org/officeDocument/2006/relationships/hyperlink" Target="https://www.fennemorelaw.com/insights/newsletters/2019/new-tomato-suspension-agreement-signe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2025-08-29T15:55:25Z</dcterms:created>
  <dcterms:modified xsi:type="dcterms:W3CDTF">2025-08-29T15:55:25Z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