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584096" y="763308"/>
                            <a:ext cx="194437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-1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PAUL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R.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FRANKE,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III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68477" y="2133494"/>
                            <a:ext cx="3759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78444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303.813.3820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4690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303.291.3201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815333" y="2500373"/>
                            <a:ext cx="148209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pfranke@fennemorelaw.com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49.05pt;mso-position-horizontal-relative:page;mso-position-vertical-relative:page;z-index:15729152" id="docshapegroup1" coordorigin="1341,560" coordsize="9554,4981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557" type="#_x0000_t75" id="docshape3" stroked="false">
                  <v:imagedata r:id="rId7" o:title=""/>
                </v:shape>
                <v:rect style="position:absolute;left:6117;top:983;width:4777;height:4557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985;top:1762;width:3062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-1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PAUL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R.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FRANKE,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III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1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220;top:3919;width:592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303.813.3820</w:t>
                        </w:r>
                      </w:p>
                    </w:txbxContent>
                  </v:textbox>
                  <w10:wrap type="none"/>
                </v:shape>
                <v:shape style="position:absolute;left:8816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303.291.3201</w:t>
                        </w:r>
                      </w:p>
                    </w:txbxContent>
                  </v:textbox>
                  <w10:wrap type="none"/>
                </v:shape>
                <v:shape style="position:absolute;left:7349;top:4497;width:2334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pfranke@fennemorelaw.com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21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PAUL</w:t>
      </w:r>
      <w:r>
        <w:rPr>
          <w:color w:val="FF8100"/>
          <w:spacing w:val="6"/>
        </w:rPr>
        <w:t> </w:t>
      </w:r>
      <w:r>
        <w:rPr>
          <w:color w:val="FF8100"/>
        </w:rPr>
        <w:t>R.</w:t>
      </w:r>
      <w:r>
        <w:rPr>
          <w:color w:val="FF8100"/>
          <w:spacing w:val="7"/>
        </w:rPr>
        <w:t> </w:t>
      </w:r>
      <w:r>
        <w:rPr>
          <w:color w:val="FF8100"/>
        </w:rPr>
        <w:t>FRANKE,</w:t>
      </w:r>
      <w:r>
        <w:rPr>
          <w:color w:val="FF8100"/>
          <w:spacing w:val="7"/>
        </w:rPr>
        <w:t> </w:t>
      </w:r>
      <w:r>
        <w:rPr>
          <w:color w:val="FF8100"/>
          <w:spacing w:val="-5"/>
        </w:rPr>
        <w:t>III</w:t>
      </w:r>
    </w:p>
    <w:p>
      <w:pPr>
        <w:pStyle w:val="BodyText"/>
        <w:spacing w:line="295" w:lineRule="auto" w:before="146"/>
        <w:ind w:left="104" w:right="271"/>
      </w:pPr>
      <w:r>
        <w:rPr>
          <w:color w:val="6E6158"/>
        </w:rPr>
        <w:t>Paul R. Franke III has over 30 years of experience helping clients navigate complex financial</w:t>
      </w:r>
      <w:r>
        <w:rPr>
          <w:color w:val="6E6158"/>
          <w:spacing w:val="40"/>
        </w:rPr>
        <w:t> </w:t>
      </w:r>
      <w:r>
        <w:rPr>
          <w:color w:val="6E6158"/>
        </w:rPr>
        <w:t>challenges with practical, effective solutions. As a trial attorney specializing in financial </w:t>
      </w:r>
      <w:r>
        <w:rPr>
          <w:color w:val="6E6158"/>
        </w:rPr>
        <w:t>litigation,</w:t>
      </w:r>
      <w:r>
        <w:rPr>
          <w:color w:val="6E6158"/>
          <w:spacing w:val="40"/>
        </w:rPr>
        <w:t> </w:t>
      </w:r>
      <w:r>
        <w:rPr>
          <w:color w:val="6E6158"/>
        </w:rPr>
        <w:t>he advises businesses on issues involving banking, real estate, corporate financing, and capital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structures.</w:t>
      </w:r>
    </w:p>
    <w:p>
      <w:pPr>
        <w:pStyle w:val="BodyText"/>
        <w:spacing w:line="295" w:lineRule="auto" w:before="197"/>
        <w:ind w:left="104" w:right="159"/>
      </w:pPr>
      <w:r>
        <w:rPr>
          <w:color w:val="6E6158"/>
        </w:rPr>
        <w:t>Paul is known for his creative problem-solving and focus on preserving value, successfully</w:t>
      </w:r>
      <w:r>
        <w:rPr>
          <w:color w:val="6E6158"/>
          <w:spacing w:val="40"/>
        </w:rPr>
        <w:t> </w:t>
      </w:r>
      <w:r>
        <w:rPr>
          <w:color w:val="6E6158"/>
        </w:rPr>
        <w:t>representing corporations, financial institutions, and insurers in high-stakes disputes, including</w:t>
      </w:r>
      <w:r>
        <w:rPr>
          <w:color w:val="6E6158"/>
          <w:spacing w:val="40"/>
        </w:rPr>
        <w:t> </w:t>
      </w:r>
      <w:r>
        <w:rPr>
          <w:color w:val="6E6158"/>
        </w:rPr>
        <w:t>breaches of contract, loan covenant issues, and corporate buy-sell disagreements. Whether</w:t>
      </w:r>
      <w:r>
        <w:rPr>
          <w:color w:val="6E6158"/>
          <w:spacing w:val="40"/>
        </w:rPr>
        <w:t> </w:t>
      </w:r>
      <w:r>
        <w:rPr>
          <w:color w:val="6E6158"/>
        </w:rPr>
        <w:t>addressing intricate contractual provisions or advocating for clients in disputes with the </w:t>
      </w:r>
      <w:r>
        <w:rPr>
          <w:color w:val="6E6158"/>
        </w:rPr>
        <w:t>federal</w:t>
      </w:r>
      <w:r>
        <w:rPr>
          <w:color w:val="6E6158"/>
          <w:spacing w:val="40"/>
        </w:rPr>
        <w:t> </w:t>
      </w:r>
      <w:r>
        <w:rPr>
          <w:color w:val="6E6158"/>
        </w:rPr>
        <w:t>government,</w:t>
      </w:r>
      <w:r>
        <w:rPr>
          <w:color w:val="6E6158"/>
          <w:spacing w:val="40"/>
        </w:rPr>
        <w:t> </w:t>
      </w:r>
      <w:r>
        <w:rPr>
          <w:color w:val="6E6158"/>
        </w:rPr>
        <w:t>Paul’s</w:t>
      </w:r>
      <w:r>
        <w:rPr>
          <w:color w:val="6E6158"/>
          <w:spacing w:val="40"/>
        </w:rPr>
        <w:t> </w:t>
      </w:r>
      <w:r>
        <w:rPr>
          <w:color w:val="6E6158"/>
        </w:rPr>
        <w:t>approach</w:t>
      </w:r>
      <w:r>
        <w:rPr>
          <w:color w:val="6E6158"/>
          <w:spacing w:val="40"/>
        </w:rPr>
        <w:t> </w:t>
      </w:r>
      <w:r>
        <w:rPr>
          <w:color w:val="6E6158"/>
        </w:rPr>
        <w:t>ensures</w:t>
      </w:r>
      <w:r>
        <w:rPr>
          <w:color w:val="6E6158"/>
          <w:spacing w:val="40"/>
        </w:rPr>
        <w:t> </w:t>
      </w:r>
      <w:r>
        <w:rPr>
          <w:color w:val="6E6158"/>
        </w:rPr>
        <w:t>business</w:t>
      </w:r>
      <w:r>
        <w:rPr>
          <w:color w:val="6E6158"/>
          <w:spacing w:val="40"/>
        </w:rPr>
        <w:t> </w:t>
      </w:r>
      <w:r>
        <w:rPr>
          <w:color w:val="6E6158"/>
        </w:rPr>
        <w:t>continuity</w:t>
      </w:r>
      <w:r>
        <w:rPr>
          <w:color w:val="6E6158"/>
          <w:spacing w:val="40"/>
        </w:rPr>
        <w:t> </w:t>
      </w:r>
      <w:r>
        <w:rPr>
          <w:color w:val="6E6158"/>
        </w:rPr>
        <w:t>while</w:t>
      </w:r>
      <w:r>
        <w:rPr>
          <w:color w:val="6E6158"/>
          <w:spacing w:val="40"/>
        </w:rPr>
        <w:t> </w:t>
      </w:r>
      <w:r>
        <w:rPr>
          <w:color w:val="6E6158"/>
        </w:rPr>
        <w:t>safeguarding</w:t>
      </w:r>
      <w:r>
        <w:rPr>
          <w:color w:val="6E6158"/>
          <w:spacing w:val="40"/>
        </w:rPr>
        <w:t> </w:t>
      </w:r>
      <w:r>
        <w:rPr>
          <w:color w:val="6E6158"/>
        </w:rPr>
        <w:t>client</w:t>
      </w:r>
      <w:r>
        <w:rPr>
          <w:color w:val="6E6158"/>
          <w:spacing w:val="40"/>
        </w:rPr>
        <w:t> </w:t>
      </w:r>
      <w:r>
        <w:rPr>
          <w:color w:val="6E6158"/>
        </w:rPr>
        <w:t>interests.</w:t>
      </w:r>
    </w:p>
    <w:p>
      <w:pPr>
        <w:pStyle w:val="BodyText"/>
        <w:spacing w:line="295" w:lineRule="auto" w:before="203"/>
        <w:ind w:left="104" w:right="159"/>
      </w:pPr>
      <w:r>
        <w:rPr>
          <w:color w:val="6E6158"/>
        </w:rPr>
        <w:t>His</w:t>
      </w:r>
      <w:r>
        <w:rPr>
          <w:color w:val="6E6158"/>
          <w:spacing w:val="27"/>
        </w:rPr>
        <w:t> </w:t>
      </w:r>
      <w:r>
        <w:rPr>
          <w:color w:val="6E6158"/>
        </w:rPr>
        <w:t>leadership</w:t>
      </w:r>
      <w:r>
        <w:rPr>
          <w:color w:val="6E6158"/>
          <w:spacing w:val="27"/>
        </w:rPr>
        <w:t> </w:t>
      </w:r>
      <w:r>
        <w:rPr>
          <w:color w:val="6E6158"/>
        </w:rPr>
        <w:t>as</w:t>
      </w:r>
      <w:r>
        <w:rPr>
          <w:color w:val="6E6158"/>
          <w:spacing w:val="27"/>
        </w:rPr>
        <w:t> </w:t>
      </w:r>
      <w:r>
        <w:rPr>
          <w:color w:val="6E6158"/>
        </w:rPr>
        <w:t>national</w:t>
      </w:r>
      <w:r>
        <w:rPr>
          <w:color w:val="6E6158"/>
          <w:spacing w:val="27"/>
        </w:rPr>
        <w:t> </w:t>
      </w:r>
      <w:r>
        <w:rPr>
          <w:color w:val="6E6158"/>
        </w:rPr>
        <w:t>counsel</w:t>
      </w:r>
      <w:r>
        <w:rPr>
          <w:color w:val="6E6158"/>
          <w:spacing w:val="27"/>
        </w:rPr>
        <w:t> </w:t>
      </w:r>
      <w:r>
        <w:rPr>
          <w:color w:val="6E6158"/>
        </w:rPr>
        <w:t>for</w:t>
      </w:r>
      <w:r>
        <w:rPr>
          <w:color w:val="6E6158"/>
          <w:spacing w:val="27"/>
        </w:rPr>
        <w:t> </w:t>
      </w:r>
      <w:r>
        <w:rPr>
          <w:color w:val="6E6158"/>
        </w:rPr>
        <w:t>a</w:t>
      </w:r>
      <w:r>
        <w:rPr>
          <w:color w:val="6E6158"/>
          <w:spacing w:val="27"/>
        </w:rPr>
        <w:t> </w:t>
      </w:r>
      <w:r>
        <w:rPr>
          <w:color w:val="6E6158"/>
        </w:rPr>
        <w:t>Fortune</w:t>
      </w:r>
      <w:r>
        <w:rPr>
          <w:color w:val="6E6158"/>
          <w:spacing w:val="27"/>
        </w:rPr>
        <w:t> </w:t>
      </w:r>
      <w:r>
        <w:rPr>
          <w:color w:val="6E6158"/>
        </w:rPr>
        <w:t>100</w:t>
      </w:r>
      <w:r>
        <w:rPr>
          <w:color w:val="6E6158"/>
          <w:spacing w:val="27"/>
        </w:rPr>
        <w:t> </w:t>
      </w:r>
      <w:r>
        <w:rPr>
          <w:color w:val="6E6158"/>
        </w:rPr>
        <w:t>company</w:t>
      </w:r>
      <w:r>
        <w:rPr>
          <w:color w:val="6E6158"/>
          <w:spacing w:val="27"/>
        </w:rPr>
        <w:t> </w:t>
      </w:r>
      <w:r>
        <w:rPr>
          <w:color w:val="6E6158"/>
        </w:rPr>
        <w:t>highlights</w:t>
      </w:r>
      <w:r>
        <w:rPr>
          <w:color w:val="6E6158"/>
          <w:spacing w:val="27"/>
        </w:rPr>
        <w:t> </w:t>
      </w:r>
      <w:r>
        <w:rPr>
          <w:color w:val="6E6158"/>
        </w:rPr>
        <w:t>his</w:t>
      </w:r>
      <w:r>
        <w:rPr>
          <w:color w:val="6E6158"/>
          <w:spacing w:val="27"/>
        </w:rPr>
        <w:t> </w:t>
      </w:r>
      <w:r>
        <w:rPr>
          <w:color w:val="6E6158"/>
        </w:rPr>
        <w:t>ability</w:t>
      </w:r>
      <w:r>
        <w:rPr>
          <w:color w:val="6E6158"/>
          <w:spacing w:val="27"/>
        </w:rPr>
        <w:t> </w:t>
      </w:r>
      <w:r>
        <w:rPr>
          <w:color w:val="6E6158"/>
        </w:rPr>
        <w:t>to</w:t>
      </w:r>
      <w:r>
        <w:rPr>
          <w:color w:val="6E6158"/>
          <w:spacing w:val="27"/>
        </w:rPr>
        <w:t> </w:t>
      </w:r>
      <w:r>
        <w:rPr>
          <w:color w:val="6E6158"/>
        </w:rPr>
        <w:t>manage high-stakes litigation on a national scale. He has a proven track record of crafting strategies that</w:t>
      </w:r>
      <w:r>
        <w:rPr>
          <w:color w:val="6E6158"/>
          <w:spacing w:val="40"/>
        </w:rPr>
        <w:t> </w:t>
      </w:r>
      <w:r>
        <w:rPr>
          <w:color w:val="6E6158"/>
        </w:rPr>
        <w:t>minimize disruptions and drive favorable outcomes for his clients. His skill level extends to working</w:t>
      </w:r>
      <w:r>
        <w:rPr>
          <w:color w:val="6E6158"/>
          <w:spacing w:val="40"/>
        </w:rPr>
        <w:t> </w:t>
      </w:r>
      <w:r>
        <w:rPr>
          <w:color w:val="6E6158"/>
        </w:rPr>
        <w:t>with traditional and non-traditional lenders, as well as handling unique claims arising from</w:t>
      </w:r>
      <w:r>
        <w:rPr>
          <w:color w:val="6E6158"/>
          <w:spacing w:val="40"/>
        </w:rPr>
        <w:t> </w:t>
      </w:r>
      <w:r>
        <w:rPr>
          <w:color w:val="6E6158"/>
        </w:rPr>
        <w:t>legislative changes or evolving regulatory landscapes. Paul’s ability to navigate these complex</w:t>
      </w:r>
      <w:r>
        <w:rPr>
          <w:color w:val="6E6158"/>
          <w:spacing w:val="40"/>
        </w:rPr>
        <w:t> </w:t>
      </w:r>
      <w:r>
        <w:rPr>
          <w:color w:val="6E6158"/>
        </w:rPr>
        <w:t>matters has earned him the trust of a diverse range of clients, from multinational corporations to</w:t>
      </w:r>
      <w:r>
        <w:rPr>
          <w:color w:val="6E6158"/>
          <w:spacing w:val="40"/>
        </w:rPr>
        <w:t> </w:t>
      </w:r>
      <w:r>
        <w:rPr>
          <w:color w:val="6E6158"/>
        </w:rPr>
        <w:t>niche financial institutions.</w:t>
      </w:r>
    </w:p>
    <w:p>
      <w:pPr>
        <w:pStyle w:val="BodyText"/>
        <w:spacing w:line="292" w:lineRule="auto" w:before="199"/>
        <w:ind w:left="104" w:right="128"/>
      </w:pPr>
      <w:r>
        <w:rPr>
          <w:color w:val="6E6158"/>
        </w:rPr>
        <w:t>On the international stage, Paul has tackled complex corporate finance and asset </w:t>
      </w:r>
      <w:r>
        <w:rPr>
          <w:color w:val="6E6158"/>
        </w:rPr>
        <w:t>procurement</w:t>
      </w:r>
      <w:r>
        <w:rPr>
          <w:color w:val="6E6158"/>
          <w:spacing w:val="40"/>
        </w:rPr>
        <w:t> </w:t>
      </w:r>
      <w:r>
        <w:rPr>
          <w:color w:val="6E6158"/>
        </w:rPr>
        <w:t>matters across Europe, Asia, Africa, the Middle East, and the Americas. From 2021 to 2023, he</w:t>
      </w:r>
      <w:r>
        <w:rPr>
          <w:color w:val="6E6158"/>
          <w:spacing w:val="40"/>
        </w:rPr>
        <w:t> </w:t>
      </w:r>
      <w:r>
        <w:rPr>
          <w:color w:val="6E6158"/>
        </w:rPr>
        <w:t>served</w:t>
      </w:r>
      <w:r>
        <w:rPr>
          <w:color w:val="6E6158"/>
          <w:spacing w:val="28"/>
        </w:rPr>
        <w:t> </w:t>
      </w:r>
      <w:r>
        <w:rPr>
          <w:color w:val="6E6158"/>
        </w:rPr>
        <w:t>as</w:t>
      </w:r>
      <w:r>
        <w:rPr>
          <w:color w:val="6E6158"/>
          <w:spacing w:val="28"/>
        </w:rPr>
        <w:t> </w:t>
      </w:r>
      <w:r>
        <w:rPr>
          <w:color w:val="6E6158"/>
        </w:rPr>
        <w:t>President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Ally</w:t>
      </w:r>
      <w:r>
        <w:rPr>
          <w:color w:val="6E6158"/>
          <w:spacing w:val="28"/>
        </w:rPr>
        <w:t> </w:t>
      </w:r>
      <w:r>
        <w:rPr>
          <w:color w:val="6E6158"/>
        </w:rPr>
        <w:t>Law,</w:t>
      </w:r>
      <w:r>
        <w:rPr>
          <w:color w:val="6E6158"/>
          <w:spacing w:val="28"/>
        </w:rPr>
        <w:t> </w:t>
      </w:r>
      <w:r>
        <w:rPr>
          <w:color w:val="6E6158"/>
        </w:rPr>
        <w:t>a</w:t>
      </w:r>
      <w:r>
        <w:rPr>
          <w:color w:val="6E6158"/>
          <w:spacing w:val="28"/>
        </w:rPr>
        <w:t> </w:t>
      </w:r>
      <w:r>
        <w:rPr>
          <w:color w:val="6E6158"/>
        </w:rPr>
        <w:t>global</w:t>
      </w:r>
      <w:r>
        <w:rPr>
          <w:color w:val="6E6158"/>
          <w:spacing w:val="28"/>
        </w:rPr>
        <w:t> </w:t>
      </w:r>
      <w:r>
        <w:rPr>
          <w:color w:val="6E6158"/>
        </w:rPr>
        <w:t>network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prestigious</w:t>
      </w:r>
      <w:r>
        <w:rPr>
          <w:color w:val="6E6158"/>
          <w:spacing w:val="28"/>
        </w:rPr>
        <w:t> </w:t>
      </w:r>
      <w:r>
        <w:rPr>
          <w:color w:val="6E6158"/>
        </w:rPr>
        <w:t>law</w:t>
      </w:r>
      <w:r>
        <w:rPr>
          <w:color w:val="6E6158"/>
          <w:spacing w:val="28"/>
        </w:rPr>
        <w:t> </w:t>
      </w:r>
      <w:r>
        <w:rPr>
          <w:color w:val="6E6158"/>
        </w:rPr>
        <w:t>firms,</w:t>
      </w:r>
      <w:r>
        <w:rPr>
          <w:color w:val="6E6158"/>
          <w:spacing w:val="28"/>
        </w:rPr>
        <w:t> </w:t>
      </w:r>
      <w:r>
        <w:rPr>
          <w:color w:val="6E6158"/>
        </w:rPr>
        <w:t>further</w:t>
      </w:r>
      <w:r>
        <w:rPr>
          <w:color w:val="6E6158"/>
          <w:spacing w:val="28"/>
        </w:rPr>
        <w:t> </w:t>
      </w:r>
      <w:r>
        <w:rPr>
          <w:color w:val="6E6158"/>
        </w:rPr>
        <w:t>demonstrating his</w:t>
      </w:r>
      <w:r>
        <w:rPr>
          <w:color w:val="6E6158"/>
          <w:spacing w:val="25"/>
        </w:rPr>
        <w:t> </w:t>
      </w:r>
      <w:r>
        <w:rPr>
          <w:color w:val="6E6158"/>
        </w:rPr>
        <w:t>ability</w:t>
      </w:r>
      <w:r>
        <w:rPr>
          <w:color w:val="6E6158"/>
          <w:spacing w:val="25"/>
        </w:rPr>
        <w:t> </w:t>
      </w:r>
      <w:r>
        <w:rPr>
          <w:color w:val="6E6158"/>
        </w:rPr>
        <w:t>to</w:t>
      </w:r>
      <w:r>
        <w:rPr>
          <w:color w:val="6E6158"/>
          <w:spacing w:val="25"/>
        </w:rPr>
        <w:t> </w:t>
      </w:r>
      <w:r>
        <w:rPr>
          <w:color w:val="6E6158"/>
        </w:rPr>
        <w:t>lead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resolve</w:t>
      </w:r>
      <w:r>
        <w:rPr>
          <w:color w:val="6E6158"/>
          <w:spacing w:val="25"/>
        </w:rPr>
        <w:t> </w:t>
      </w:r>
      <w:r>
        <w:rPr>
          <w:color w:val="6E6158"/>
        </w:rPr>
        <w:t>multifaceted</w:t>
      </w:r>
      <w:r>
        <w:rPr>
          <w:color w:val="6E6158"/>
          <w:spacing w:val="25"/>
        </w:rPr>
        <w:t> </w:t>
      </w:r>
      <w:r>
        <w:rPr>
          <w:color w:val="6E6158"/>
        </w:rPr>
        <w:t>legal</w:t>
      </w:r>
      <w:r>
        <w:rPr>
          <w:color w:val="6E6158"/>
          <w:spacing w:val="25"/>
        </w:rPr>
        <w:t> </w:t>
      </w:r>
      <w:r>
        <w:rPr>
          <w:color w:val="6E6158"/>
        </w:rPr>
        <w:t>challenges.</w:t>
      </w:r>
      <w:r>
        <w:rPr>
          <w:color w:val="6E6158"/>
          <w:spacing w:val="25"/>
        </w:rPr>
        <w:t> </w:t>
      </w:r>
      <w:r>
        <w:rPr>
          <w:color w:val="6E6158"/>
        </w:rPr>
        <w:t>In</w:t>
      </w:r>
      <w:r>
        <w:rPr>
          <w:color w:val="6E6158"/>
          <w:spacing w:val="25"/>
        </w:rPr>
        <w:t> </w:t>
      </w:r>
      <w:r>
        <w:rPr>
          <w:color w:val="6E6158"/>
        </w:rPr>
        <w:t>every</w:t>
      </w:r>
      <w:r>
        <w:rPr>
          <w:color w:val="6E6158"/>
          <w:spacing w:val="25"/>
        </w:rPr>
        <w:t> </w:t>
      </w:r>
      <w:r>
        <w:rPr>
          <w:color w:val="6E6158"/>
        </w:rPr>
        <w:t>case,</w:t>
      </w:r>
      <w:r>
        <w:rPr>
          <w:color w:val="6E6158"/>
          <w:spacing w:val="25"/>
        </w:rPr>
        <w:t> </w:t>
      </w:r>
      <w:r>
        <w:rPr>
          <w:color w:val="6E6158"/>
        </w:rPr>
        <w:t>Paul’s</w:t>
      </w:r>
      <w:r>
        <w:rPr>
          <w:color w:val="6E6158"/>
          <w:spacing w:val="25"/>
        </w:rPr>
        <w:t> </w:t>
      </w:r>
      <w:r>
        <w:rPr>
          <w:color w:val="6E6158"/>
        </w:rPr>
        <w:t>goal</w:t>
      </w:r>
      <w:r>
        <w:rPr>
          <w:color w:val="6E6158"/>
          <w:spacing w:val="25"/>
        </w:rPr>
        <w:t> </w:t>
      </w:r>
      <w:r>
        <w:rPr>
          <w:color w:val="6E6158"/>
        </w:rPr>
        <w:t>is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</w:p>
    <w:p>
      <w:pPr>
        <w:pStyle w:val="BodyText"/>
        <w:spacing w:line="292" w:lineRule="auto" w:before="11"/>
        <w:ind w:left="104" w:right="357"/>
      </w:pPr>
      <w:r>
        <w:rPr>
          <w:color w:val="6E6158"/>
        </w:rPr>
        <w:t>same: to provide clients with actionable, practical solutions that allow them to move forward</w:t>
      </w:r>
      <w:r>
        <w:rPr>
          <w:color w:val="6E6158"/>
          <w:spacing w:val="40"/>
        </w:rPr>
        <w:t> </w:t>
      </w:r>
      <w:r>
        <w:rPr>
          <w:color w:val="6E6158"/>
        </w:rPr>
        <w:t>with confidence.</w:t>
      </w:r>
    </w:p>
    <w:p>
      <w:pPr>
        <w:pStyle w:val="Heading1"/>
        <w:spacing w:before="163"/>
      </w:pPr>
      <w:r>
        <w:rPr>
          <w:color w:val="FF8100"/>
          <w:spacing w:val="-2"/>
        </w:rPr>
        <w:t>EDUCATION</w:t>
      </w:r>
    </w:p>
    <w:p>
      <w:pPr>
        <w:pStyle w:val="BodyText"/>
        <w:spacing w:before="146" w:after="7"/>
        <w:ind w:left="356"/>
      </w:pPr>
      <w:r>
        <w:rPr>
          <w:color w:val="6E6158"/>
        </w:rPr>
        <w:t>J.D.,</w:t>
      </w:r>
      <w:r>
        <w:rPr>
          <w:color w:val="6E6158"/>
          <w:spacing w:val="15"/>
        </w:rPr>
        <w:t> </w:t>
      </w:r>
      <w:r>
        <w:rPr>
          <w:color w:val="6E6158"/>
        </w:rPr>
        <w:t>Willamette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University</w:t>
      </w:r>
    </w:p>
    <w:p>
      <w:pPr>
        <w:spacing w:line="32" w:lineRule="exact"/>
        <w:ind w:left="234" w:right="0" w:firstLine="0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20955" cy="20955"/>
                <wp:effectExtent l="0" t="0" r="0" b="0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20955" cy="20955"/>
                          <a:chExt cx="20955" cy="2095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2095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20955">
                                <a:moveTo>
                                  <a:pt x="13188" y="20669"/>
                                </a:moveTo>
                                <a:lnTo>
                                  <a:pt x="7480" y="20669"/>
                                </a:lnTo>
                                <a:lnTo>
                                  <a:pt x="5044" y="19660"/>
                                </a:lnTo>
                                <a:lnTo>
                                  <a:pt x="1008" y="15624"/>
                                </a:lnTo>
                                <a:lnTo>
                                  <a:pt x="0" y="13188"/>
                                </a:lnTo>
                                <a:lnTo>
                                  <a:pt x="0" y="7480"/>
                                </a:lnTo>
                                <a:lnTo>
                                  <a:pt x="1008" y="5044"/>
                                </a:lnTo>
                                <a:lnTo>
                                  <a:pt x="5044" y="1008"/>
                                </a:lnTo>
                                <a:lnTo>
                                  <a:pt x="7480" y="0"/>
                                </a:lnTo>
                                <a:lnTo>
                                  <a:pt x="13188" y="0"/>
                                </a:lnTo>
                                <a:lnTo>
                                  <a:pt x="15624" y="1008"/>
                                </a:lnTo>
                                <a:lnTo>
                                  <a:pt x="19660" y="5044"/>
                                </a:lnTo>
                                <a:lnTo>
                                  <a:pt x="20669" y="7480"/>
                                </a:lnTo>
                                <a:lnTo>
                                  <a:pt x="20669" y="10334"/>
                                </a:lnTo>
                                <a:lnTo>
                                  <a:pt x="20669" y="13188"/>
                                </a:lnTo>
                                <a:lnTo>
                                  <a:pt x="19660" y="15624"/>
                                </a:lnTo>
                                <a:lnTo>
                                  <a:pt x="15624" y="19660"/>
                                </a:lnTo>
                                <a:lnTo>
                                  <a:pt x="13188" y="20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65pt;height:1.65pt;mso-position-horizontal-relative:char;mso-position-vertical-relative:line" id="docshapegroup11" coordorigin="0,0" coordsize="33,33">
                <v:shape style="position:absolute;left:0;top:0;width:33;height:33" id="docshape12" coordorigin="0,0" coordsize="33,33" path="m21,33l12,33,8,31,2,25,0,21,0,12,2,8,8,2,12,0,21,0,25,2,31,8,33,12,33,16,33,21,31,25,25,31,21,33xe" filled="true" fillcolor="#09090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spacing w:before="3"/>
        <w:ind w:left="853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1378727</wp:posOffset>
                </wp:positionH>
                <wp:positionV relativeFrom="paragraph">
                  <wp:posOffset>72691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5.723768pt;width:1.65pt;height:1.65pt;mso-position-horizontal-relative:page;mso-position-vertical-relative:paragraph;z-index:15729664" id="docshape13" coordorigin="2171,114" coordsize="33,33" path="m2192,147l2183,147,2179,145,2173,139,2171,135,2171,126,2173,122,2179,116,2183,114,2192,114,2196,116,2202,122,2204,126,2204,131,2204,135,2202,139,2196,145,2192,1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Associate</w:t>
      </w:r>
      <w:r>
        <w:rPr>
          <w:color w:val="6E6158"/>
          <w:spacing w:val="-12"/>
          <w:sz w:val="19"/>
        </w:rPr>
        <w:t> </w:t>
      </w:r>
      <w:r>
        <w:rPr>
          <w:color w:val="6E6158"/>
          <w:sz w:val="19"/>
        </w:rPr>
        <w:t>Editor,</w:t>
      </w:r>
      <w:r>
        <w:rPr>
          <w:color w:val="6E6158"/>
          <w:spacing w:val="-10"/>
          <w:sz w:val="19"/>
        </w:rPr>
        <w:t> </w:t>
      </w:r>
      <w:r>
        <w:rPr>
          <w:i/>
          <w:color w:val="6E6158"/>
          <w:sz w:val="20"/>
        </w:rPr>
        <w:t>Willamette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University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pacing w:val="-2"/>
          <w:sz w:val="20"/>
        </w:rPr>
        <w:t>Review</w:t>
      </w:r>
    </w:p>
    <w:p>
      <w:pPr>
        <w:pStyle w:val="BodyText"/>
        <w:spacing w:before="179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173440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56769pt;width:1.65pt;height:1.65pt;mso-position-horizontal-relative:page;mso-position-vertical-relative:paragraph;z-index:15730176" id="docshape14" coordorigin="1675,273" coordsize="33,33" path="m1696,306l1687,306,1683,304,1676,298,1675,294,1675,285,1676,281,1683,275,1687,273,1696,273,1699,275,1706,281,1707,285,1707,289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0"/>
        </w:rPr>
        <w:t> </w:t>
      </w:r>
      <w:r>
        <w:rPr>
          <w:color w:val="6E6158"/>
        </w:rPr>
        <w:t>University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New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Mexico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0688" id="docshape15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line="415" w:lineRule="auto" w:before="140"/>
        <w:ind w:left="356" w:right="813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168310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52779pt;width:1.65pt;height:1.65pt;mso-position-horizontal-relative:page;mso-position-vertical-relative:paragraph;z-index:15731200" id="docshape16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437010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410278pt;width:1.65pt;height:1.65pt;mso-position-horizontal-relative:page;mso-position-vertical-relative:paragraph;z-index:15731712" id="docshape17" coordorigin="1675,688" coordsize="33,33" path="m1696,721l1687,721,1683,719,1676,713,1675,709,1675,700,1676,696,1683,690,1687,688,1696,688,1699,690,1706,696,1707,700,1707,704,1707,709,1706,713,1699,719,1696,72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2"/>
          <w:sz w:val="20"/>
        </w:rPr>
        <w:t> </w:t>
      </w:r>
      <w:r>
        <w:rPr>
          <w:color w:val="6E6158"/>
          <w:sz w:val="19"/>
        </w:rPr>
        <w:t>Lawyer of the Year, Banking and Finance Law, 2025 America’s Top 100 Bet-the-Company Litigators, 2019</w:t>
      </w:r>
    </w:p>
    <w:p>
      <w:pPr>
        <w:pStyle w:val="BodyText"/>
        <w:spacing w:line="292" w:lineRule="auto" w:before="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155294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227881pt;width:1.65pt;height:1.65pt;mso-position-horizontal-relative:page;mso-position-vertical-relative:paragraph;z-index:15732224" id="docshape18" coordorigin="1675,245" coordsize="33,33" path="m1696,277l1687,277,1683,276,1676,269,1675,265,1675,256,1676,253,1683,246,1687,245,1696,245,1699,246,1706,253,1707,256,1707,261,1707,265,1706,269,1699,276,1696,27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Benchmark Litigation Local Litigation Star, General Commercial Litigation and Real </w:t>
      </w:r>
      <w:r>
        <w:rPr>
          <w:color w:val="6E6158"/>
        </w:rPr>
        <w:t>Estate Litigation, 2021-2024</w:t>
      </w:r>
    </w:p>
    <w:p>
      <w:pPr>
        <w:spacing w:before="116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153526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88732pt;width:1.65pt;height:1.65pt;mso-position-horizontal-relative:page;mso-position-vertical-relative:paragraph;z-index:15732736" id="docshape19" coordorigin="1675,242" coordsize="33,33" path="m1696,274l1687,274,1683,273,1676,266,1675,263,1675,254,1676,250,1683,243,1687,242,1696,242,1699,243,1706,250,1707,254,1707,258,1707,263,1706,266,1699,273,1696,27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color w:val="6E6158"/>
          <w:sz w:val="19"/>
        </w:rPr>
        <w:t>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Commercial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Litigation,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2021-</w:t>
      </w:r>
      <w:r>
        <w:rPr>
          <w:color w:val="6E6158"/>
          <w:spacing w:val="-4"/>
          <w:sz w:val="19"/>
        </w:rPr>
        <w:t>2026</w:t>
      </w:r>
    </w:p>
    <w:p>
      <w:pPr>
        <w:spacing w:before="173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184289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510956pt;width:1.65pt;height:1.65pt;mso-position-horizontal-relative:page;mso-position-vertical-relative:paragraph;z-index:15733248" id="docshape20" coordorigin="1675,290" coordsize="33,33" path="m1696,323l1687,323,1683,321,1676,315,1675,311,1675,302,1676,298,1683,292,1687,290,1696,290,1699,292,1706,298,1707,302,1707,306,1707,311,1706,315,1699,321,1696,3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color w:val="6E6158"/>
          <w:sz w:val="19"/>
        </w:rPr>
        <w:t>, Litigation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–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Real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Estate, 2022-</w:t>
      </w:r>
      <w:r>
        <w:rPr>
          <w:color w:val="6E6158"/>
          <w:spacing w:val="-4"/>
          <w:sz w:val="19"/>
        </w:rPr>
        <w:t>2026</w:t>
      </w:r>
    </w:p>
    <w:p>
      <w:pPr>
        <w:pStyle w:val="BodyText"/>
        <w:spacing w:line="412" w:lineRule="auto" w:before="164"/>
        <w:ind w:left="356" w:right="30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184023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490057pt;width:1.65pt;height:1.65pt;mso-position-horizontal-relative:page;mso-position-vertical-relative:paragraph;z-index:15733760" id="docshape21" coordorigin="1675,290" coordsize="33,33" path="m1696,322l1687,322,1683,321,1676,314,1675,311,1675,302,1676,298,1683,291,1687,290,1696,290,1699,291,1706,298,1707,302,1707,306,1707,311,1706,314,1699,321,1696,3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452723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5.647556pt;width:1.65pt;height:1.65pt;mso-position-horizontal-relative:page;mso-position-vertical-relative:paragraph;z-index:15734272" id="docshape22" coordorigin="1675,713" coordsize="33,33" path="m1696,746l1687,746,1683,744,1676,738,1675,734,1675,725,1676,721,1683,715,1687,713,1696,713,1699,715,1706,721,1707,725,1707,729,1707,734,1706,738,1699,744,1696,7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711089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5.991306pt;width:1.65pt;height:1.65pt;mso-position-horizontal-relative:page;mso-position-vertical-relative:paragraph;z-index:15734784" id="docshape23" coordorigin="1675,1120" coordsize="33,33" path="m1696,1152l1687,1152,1683,1151,1676,1144,1675,1141,1675,1132,1676,1128,1683,1121,1687,1120,1696,1120,1699,1121,1706,1128,1707,1132,1707,1136,1707,1141,1706,1144,1699,1151,1696,11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color w:val="6E6158"/>
        </w:rPr>
        <w:t>, Banking and Finance Law, 2024-</w:t>
      </w:r>
      <w:r>
        <w:rPr>
          <w:color w:val="6E6158"/>
        </w:rPr>
        <w:t>2026 Colorado Super Lawyers®, Business Litigation, 2018-2025</w:t>
      </w:r>
      <w:r>
        <w:rPr>
          <w:color w:val="6E6158"/>
          <w:spacing w:val="40"/>
        </w:rPr>
        <w:t> </w:t>
      </w:r>
      <w:r>
        <w:rPr>
          <w:color w:val="6E6158"/>
        </w:rPr>
        <w:t>Litigation Counsel of America, Fellow</w:t>
      </w:r>
    </w:p>
    <w:p>
      <w:pPr>
        <w:pStyle w:val="BodyText"/>
        <w:spacing w:before="1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69725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490191pt;width:1.65pt;height:1.65pt;mso-position-horizontal-relative:page;mso-position-vertical-relative:paragraph;z-index:15735296" id="docshape24" coordorigin="1675,110" coordsize="33,33" path="m1696,142l1687,142,1683,141,1676,134,1675,131,1675,122,1676,118,1683,111,1687,110,1696,110,1699,111,1706,118,1707,122,1707,126,1707,131,1706,134,1699,141,1696,1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Martindale-Hubbell</w:t>
      </w:r>
      <w:r>
        <w:rPr>
          <w:color w:val="6E6158"/>
          <w:spacing w:val="15"/>
        </w:rPr>
        <w:t> </w:t>
      </w:r>
      <w:r>
        <w:rPr>
          <w:color w:val="6E6158"/>
        </w:rPr>
        <w:t>Rating,</w:t>
      </w:r>
      <w:r>
        <w:rPr>
          <w:color w:val="6E6158"/>
          <w:spacing w:val="15"/>
        </w:rPr>
        <w:t> </w:t>
      </w:r>
      <w:r>
        <w:rPr>
          <w:color w:val="6E6158"/>
        </w:rPr>
        <w:t>AV®</w:t>
      </w:r>
      <w:r>
        <w:rPr>
          <w:color w:val="6E6158"/>
          <w:spacing w:val="15"/>
        </w:rPr>
        <w:t> </w:t>
      </w:r>
      <w:r>
        <w:rPr>
          <w:color w:val="6E6158"/>
        </w:rPr>
        <w:t>Preeminent™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(highest)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175172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3111pt;width:1.65pt;height:1.65pt;mso-position-horizontal-relative:page;mso-position-vertical-relative:paragraph;z-index:15735808" id="docshape25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Martindale-Hubbell</w:t>
      </w:r>
      <w:r>
        <w:rPr>
          <w:color w:val="6E6158"/>
          <w:spacing w:val="13"/>
        </w:rPr>
        <w:t> </w:t>
      </w:r>
      <w:r>
        <w:rPr>
          <w:color w:val="6E6158"/>
        </w:rPr>
        <w:t>Rating,</w:t>
      </w:r>
      <w:r>
        <w:rPr>
          <w:color w:val="6E6158"/>
          <w:spacing w:val="14"/>
        </w:rPr>
        <w:t> </w:t>
      </w:r>
      <w:r>
        <w:rPr>
          <w:color w:val="6E6158"/>
        </w:rPr>
        <w:t>AV®</w:t>
      </w:r>
      <w:r>
        <w:rPr>
          <w:color w:val="6E6158"/>
          <w:spacing w:val="13"/>
        </w:rPr>
        <w:t> </w:t>
      </w:r>
      <w:r>
        <w:rPr>
          <w:color w:val="6E6158"/>
        </w:rPr>
        <w:t>Preeminent™</w:t>
      </w:r>
      <w:r>
        <w:rPr>
          <w:color w:val="6E6158"/>
          <w:spacing w:val="14"/>
        </w:rPr>
        <w:t> </w:t>
      </w:r>
      <w:r>
        <w:rPr>
          <w:color w:val="6E6158"/>
        </w:rPr>
        <w:t>(highest)</w:t>
      </w:r>
      <w:r>
        <w:rPr>
          <w:color w:val="6E6158"/>
          <w:spacing w:val="14"/>
        </w:rPr>
        <w:t> </w:t>
      </w:r>
      <w:r>
        <w:rPr>
          <w:color w:val="6E6158"/>
        </w:rPr>
        <w:t>–</w:t>
      </w:r>
      <w:r>
        <w:rPr>
          <w:color w:val="6E6158"/>
          <w:spacing w:val="13"/>
        </w:rPr>
        <w:t> </w:t>
      </w:r>
      <w:r>
        <w:rPr>
          <w:color w:val="6E6158"/>
        </w:rPr>
        <w:t>Judicial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Edition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302" w:lineRule="auto" w:before="147"/>
        <w:ind w:left="356" w:right="2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250772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45871pt;width:1.65pt;height:1.65pt;mso-position-horizontal-relative:page;mso-position-vertical-relative:paragraph;z-index:15736320" id="docshape26" coordorigin="1675,395" coordsize="33,33" path="m1696,427l1687,427,1683,426,1676,420,1675,416,1675,407,1676,403,1683,397,1687,395,1696,395,1699,397,1706,403,1707,407,1707,411,1707,416,1706,420,1699,426,1696,4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“Stuck in the COVID-19 Backlog? Arbitration May Be Your Best </w:t>
      </w:r>
      <w:r>
        <w:rPr>
          <w:color w:val="6E6158"/>
        </w:rPr>
        <w:t>Alternative,” ColoradoBiz, October 2020</w:t>
      </w:r>
    </w:p>
    <w:p>
      <w:pPr>
        <w:pStyle w:val="BodyText"/>
        <w:spacing w:line="420" w:lineRule="auto" w:before="112"/>
        <w:ind w:left="356" w:right="2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136031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11153pt;width:1.65pt;height:1.65pt;mso-position-horizontal-relative:page;mso-position-vertical-relative:paragraph;z-index:15736832" id="docshape27" coordorigin="1675,214" coordsize="33,33" path="m1696,247l1687,247,1683,245,1676,239,1675,235,1675,226,1676,222,1683,216,1687,214,1696,214,1699,216,1706,222,1707,226,1707,230,1707,235,1706,239,1699,245,1696,2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394397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054903pt;width:1.65pt;height:1.65pt;mso-position-horizontal-relative:page;mso-position-vertical-relative:paragraph;z-index:15737344" id="docshape28" coordorigin="1675,621" coordsize="33,33" path="m1696,654l1687,654,1683,652,1676,646,1675,642,1675,633,1676,629,1683,623,1687,621,1696,621,1699,623,1706,629,1707,633,1707,637,1707,642,1706,646,1699,652,1696,6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“Moye White Attorneys Assist in Supreme Court Case,” Firm Blog, July 2020 Moderator, “Getting Coloradoans Back to Work,” FIrm Webinar, May 2020</w:t>
      </w:r>
    </w:p>
    <w:p>
      <w:pPr>
        <w:pStyle w:val="BodyText"/>
        <w:spacing w:line="427" w:lineRule="auto"/>
        <w:ind w:left="356" w:right="8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63902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1691pt;width:1.65pt;height:1.65pt;mso-position-horizontal-relative:page;mso-position-vertical-relative:paragraph;z-index:15737856" id="docshape29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322268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75435pt;width:1.65pt;height:1.65pt;mso-position-horizontal-relative:page;mso-position-vertical-relative:paragraph;z-index:15738368" id="docshape30" coordorigin="1675,508" coordsize="33,33" path="m1696,540l1687,540,1683,538,1676,532,1675,528,1675,519,1676,515,1683,509,1687,508,1696,508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Panelist, “Collaborative Technology,” Ally Law Annual General Meeting, March </w:t>
      </w:r>
      <w:r>
        <w:rPr>
          <w:color w:val="6E6158"/>
        </w:rPr>
        <w:t>2019 Panelist, “Ally Law Best Practices,” Ally Law Annual General Meeting, March 2019</w:t>
      </w:r>
    </w:p>
    <w:p>
      <w:pPr>
        <w:pStyle w:val="BodyText"/>
        <w:spacing w:line="292" w:lineRule="auto"/>
        <w:ind w:left="356" w:right="2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147029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57709pt;width:1.65pt;height:1.65pt;mso-position-horizontal-relative:page;mso-position-vertical-relative:paragraph;z-index:15738880" id="docshape31" coordorigin="1675,232" coordsize="33,33" path="m1696,264l1687,264,1683,263,1676,256,1675,252,1675,243,1676,239,1683,233,1687,232,1696,232,1699,233,1706,239,1707,243,1707,248,1707,252,1706,256,1699,263,1696,26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Moderator, “The Role of Outside Counsel in Risk Management,” Ally Law Annual </w:t>
      </w:r>
      <w:r>
        <w:rPr>
          <w:color w:val="6E6158"/>
        </w:rPr>
        <w:t>General Meeting, May 2018</w:t>
      </w:r>
    </w:p>
    <w:p>
      <w:pPr>
        <w:pStyle w:val="BodyText"/>
        <w:spacing w:line="292" w:lineRule="auto" w:before="123"/>
        <w:ind w:left="356" w:right="2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230478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47945pt;width:1.65pt;height:1.65pt;mso-position-horizontal-relative:page;mso-position-vertical-relative:paragraph;z-index:15739392" id="docshape32" coordorigin="1675,363" coordsize="33,33" path="m1696,396l1687,396,1683,394,1676,388,1675,384,1675,375,1676,371,1683,365,1687,363,1696,363,1699,365,1706,371,1707,375,1707,379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Keynote Host, “Global and Economic Considerations with Tony Blinken,” Ally Law </w:t>
      </w:r>
      <w:r>
        <w:rPr>
          <w:color w:val="6E6158"/>
        </w:rPr>
        <w:t>Annual General Meeting, May 2017</w:t>
      </w:r>
    </w:p>
    <w:p>
      <w:pPr>
        <w:pStyle w:val="BodyText"/>
        <w:spacing w:line="292" w:lineRule="auto" w:before="123"/>
        <w:ind w:left="356" w:right="2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230656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1926pt;width:1.65pt;height:1.65pt;mso-position-horizontal-relative:page;mso-position-vertical-relative:paragraph;z-index:15739904" id="docshape33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Panelist, “Growing Your Firm Through Small Practice Acquisitions,” Ally Law </w:t>
      </w:r>
      <w:r>
        <w:rPr>
          <w:color w:val="6E6158"/>
        </w:rPr>
        <w:t>(formerly International Alliance of Law Firms) Annual General Meeting, May 2014</w:t>
      </w:r>
    </w:p>
    <w:p>
      <w:pPr>
        <w:pStyle w:val="BodyText"/>
        <w:spacing w:line="292" w:lineRule="auto" w:before="131"/>
        <w:ind w:left="356" w:right="2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236001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2781pt;width:1.65pt;height:1.65pt;mso-position-horizontal-relative:page;mso-position-vertical-relative:paragraph;z-index:15740416" id="docshape34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“The New Proposed RESPA Rules,” Colorado Mortgage Lenders </w:t>
      </w:r>
      <w:r>
        <w:rPr>
          <w:color w:val="6E6158"/>
        </w:rPr>
        <w:t>Association, September 2002</w:t>
      </w:r>
    </w:p>
    <w:p>
      <w:pPr>
        <w:pStyle w:val="BodyText"/>
        <w:spacing w:line="292" w:lineRule="auto" w:before="12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231098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96739pt;width:1.65pt;height:1.65pt;mso-position-horizontal-relative:page;mso-position-vertical-relative:paragraph;z-index:15740928" id="docshape35" coordorigin="1675,364" coordsize="33,33" path="m1696,396l1687,396,1683,395,1676,389,1675,385,1675,376,1676,372,1683,366,1687,364,1696,364,1699,366,1706,372,1707,376,1707,380,1707,385,1706,389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“Managing Defaults in Security Pools,” International Asset Securitization and </w:t>
      </w:r>
      <w:r>
        <w:rPr>
          <w:color w:val="6E6158"/>
        </w:rPr>
        <w:t>Other Financing Tools, Salzburg, Austria, October 1999</w:t>
      </w:r>
    </w:p>
    <w:p>
      <w:pPr>
        <w:pStyle w:val="Heading1"/>
        <w:spacing w:before="292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line="420" w:lineRule="auto" w:before="147"/>
        <w:ind w:left="356" w:right="54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152904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9701pt;width:1.65pt;height:1.65pt;mso-position-horizontal-relative:page;mso-position-vertical-relative:paragraph;z-index:15741440" id="docshape36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416437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0318pt;width:1.65pt;height:1.65pt;mso-position-horizontal-relative:page;mso-position-vertical-relative:paragraph;z-index:15741952" id="docshape37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President, 2021-2023, Ally </w:t>
      </w:r>
      <w:r>
        <w:rPr>
          <w:color w:val="6E6158"/>
        </w:rPr>
        <w:t>Law Colorado Bar Association</w:t>
      </w:r>
    </w:p>
    <w:p>
      <w:pPr>
        <w:pStyle w:val="BodyText"/>
        <w:spacing w:line="231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63717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7117pt;width:1.65pt;height:1.65pt;mso-position-horizontal-relative:page;mso-position-vertical-relative:paragraph;z-index:15742464" id="docshape38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</w:t>
      </w:r>
      <w:r>
        <w:rPr>
          <w:color w:val="6E6158"/>
          <w:spacing w:val="16"/>
        </w:rPr>
        <w:t> </w:t>
      </w:r>
      <w:r>
        <w:rPr>
          <w:color w:val="6E6158"/>
        </w:rPr>
        <w:t>of</w:t>
      </w:r>
      <w:r>
        <w:rPr>
          <w:color w:val="6E6158"/>
          <w:spacing w:val="16"/>
        </w:rPr>
        <w:t> </w:t>
      </w:r>
      <w:r>
        <w:rPr>
          <w:color w:val="6E6158"/>
        </w:rPr>
        <w:t>Directors,</w:t>
      </w:r>
      <w:r>
        <w:rPr>
          <w:color w:val="6E6158"/>
          <w:spacing w:val="16"/>
        </w:rPr>
        <w:t> </w:t>
      </w:r>
      <w:r>
        <w:rPr>
          <w:color w:val="6E6158"/>
        </w:rPr>
        <w:t>Colorado</w:t>
      </w:r>
      <w:r>
        <w:rPr>
          <w:color w:val="6E6158"/>
          <w:spacing w:val="17"/>
        </w:rPr>
        <w:t> </w:t>
      </w:r>
      <w:r>
        <w:rPr>
          <w:color w:val="6E6158"/>
        </w:rPr>
        <w:t>Homeownership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Coalition</w:t>
      </w:r>
    </w:p>
    <w:p>
      <w:pPr>
        <w:pStyle w:val="BodyText"/>
        <w:spacing w:line="420" w:lineRule="auto" w:before="182"/>
        <w:ind w:left="356" w:right="8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175166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2623pt;width:1.65pt;height:1.65pt;mso-position-horizontal-relative:page;mso-position-vertical-relative:paragraph;z-index:15742976" id="docshape39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433531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36364pt;width:1.65pt;height:1.65pt;mso-position-horizontal-relative:page;mso-position-vertical-relative:paragraph;z-index:15743488" id="docshape40" coordorigin="1675,683" coordsize="33,33" path="m1696,715l1687,715,1683,714,1676,707,1675,703,1675,695,1676,691,1683,684,1687,683,1696,683,1699,684,1706,691,1707,695,1707,699,1707,703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Associate Member and General Counsel, Colorado Mortgage Lenders </w:t>
      </w:r>
      <w:r>
        <w:rPr>
          <w:color w:val="6E6158"/>
        </w:rPr>
        <w:t>Association Denver Bar Association</w:t>
      </w:r>
    </w:p>
    <w:p>
      <w:pPr>
        <w:pStyle w:val="BodyText"/>
        <w:spacing w:after="0" w:line="420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208620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836pt;width:1.65pt;height:1.65pt;mso-position-horizontal-relative:page;mso-position-vertical-relative:paragraph;z-index:15744000" id="docshape41" coordorigin="1675,329" coordsize="33,33" path="m1696,361l1687,361,1683,359,1676,353,1675,349,1675,340,1676,336,1683,330,1687,329,1696,329,1699,330,1706,336,1707,340,1707,345,1707,349,1706,353,1699,359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Executive Committee, Past Chair of the Board of Trustees, Past Chair of Safety Net, Mile High</w:t>
      </w:r>
      <w:r>
        <w:rPr>
          <w:color w:val="6E6158"/>
          <w:spacing w:val="40"/>
        </w:rPr>
        <w:t> </w:t>
      </w:r>
      <w:r>
        <w:rPr>
          <w:color w:val="6E6158"/>
        </w:rPr>
        <w:t>United Way</w:t>
      </w:r>
    </w:p>
    <w:p>
      <w:pPr>
        <w:pStyle w:val="BodyText"/>
        <w:spacing w:before="13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143178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3933pt;width:1.65pt;height:1.65pt;mso-position-horizontal-relative:page;mso-position-vertical-relative:paragraph;z-index:15744512" id="docshape42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</w:t>
      </w:r>
      <w:r>
        <w:rPr>
          <w:color w:val="6E6158"/>
          <w:spacing w:val="13"/>
        </w:rPr>
        <w:t> </w:t>
      </w:r>
      <w:r>
        <w:rPr>
          <w:color w:val="6E6158"/>
        </w:rPr>
        <w:t>Board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Directors,</w:t>
      </w:r>
      <w:r>
        <w:rPr>
          <w:color w:val="6E6158"/>
          <w:spacing w:val="14"/>
        </w:rPr>
        <w:t> </w:t>
      </w:r>
      <w:r>
        <w:rPr>
          <w:color w:val="6E6158"/>
        </w:rPr>
        <w:t>SeedCo,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Inc.</w:t>
      </w:r>
    </w:p>
    <w:p>
      <w:pPr>
        <w:pStyle w:val="Heading1"/>
        <w:spacing w:before="213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157728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9585pt;width:1.65pt;height:1.65pt;mso-position-horizontal-relative:page;mso-position-vertical-relative:paragraph;z-index:15745024" id="docshape43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mailto:pfranke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2025-08-25T21:18:05Z</dcterms:created>
  <dcterms:modified xsi:type="dcterms:W3CDTF">2025-08-25T21:18:05Z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2025-08-25T00:00:00Z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2025-08-25T00:00:00Z</vt:filetime>
  </property>
  <property fmtid="{D5CDD505-2E9C-101B-9397-08002B2CF9AE}" pid="5" name="Producer">
    <vt:lpwstr>Skia/PDF m117</vt:lpwstr>
  </property>
</Properties>
</file>