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82912" y="763308"/>
                            <a:ext cx="13468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STEPHEN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WILLEY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76229" y="2133494"/>
                            <a:ext cx="36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53361" y="2500373"/>
                            <a:ext cx="14058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swilley@fennemorelaw.com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56;top:1762;width:2121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STEPHEN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WILLEY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32;top:3919;width:56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409;top:4497;width:221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swilley@fennemorelaw.com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STEPHEN</w:t>
      </w:r>
      <w:r>
        <w:rPr>
          <w:color w:val="FF8100"/>
          <w:spacing w:val="7"/>
        </w:rPr>
        <w:t> </w:t>
      </w:r>
      <w:r>
        <w:rPr>
          <w:color w:val="FF8100"/>
        </w:rPr>
        <w:t>C.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WILLEY</w:t>
      </w:r>
    </w:p>
    <w:p>
      <w:pPr>
        <w:pStyle w:val="BodyText"/>
        <w:spacing w:line="295" w:lineRule="auto" w:before="146"/>
        <w:ind w:left="104" w:right="329"/>
      </w:pPr>
      <w:r>
        <w:rPr>
          <w:color w:val="6E6158"/>
        </w:rPr>
        <w:t>Steve</w:t>
      </w:r>
      <w:r>
        <w:rPr>
          <w:color w:val="6E6158"/>
          <w:spacing w:val="31"/>
        </w:rPr>
        <w:t> </w:t>
      </w:r>
      <w:r>
        <w:rPr>
          <w:color w:val="6E6158"/>
        </w:rPr>
        <w:t>represents</w:t>
      </w:r>
      <w:r>
        <w:rPr>
          <w:color w:val="6E6158"/>
          <w:spacing w:val="31"/>
        </w:rPr>
        <w:t> </w:t>
      </w:r>
      <w:r>
        <w:rPr>
          <w:color w:val="6E6158"/>
        </w:rPr>
        <w:t>both</w:t>
      </w:r>
      <w:r>
        <w:rPr>
          <w:color w:val="6E6158"/>
          <w:spacing w:val="31"/>
        </w:rPr>
        <w:t> </w:t>
      </w:r>
      <w:r>
        <w:rPr>
          <w:color w:val="6E6158"/>
        </w:rPr>
        <w:t>plaintiffs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defendants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wide</w:t>
      </w:r>
      <w:r>
        <w:rPr>
          <w:color w:val="6E6158"/>
          <w:spacing w:val="31"/>
        </w:rPr>
        <w:t> </w:t>
      </w:r>
      <w:r>
        <w:rPr>
          <w:color w:val="6E6158"/>
        </w:rPr>
        <w:t>range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commercial</w:t>
      </w:r>
      <w:r>
        <w:rPr>
          <w:color w:val="6E6158"/>
          <w:spacing w:val="31"/>
        </w:rPr>
        <w:t> </w:t>
      </w:r>
      <w:r>
        <w:rPr>
          <w:color w:val="6E6158"/>
        </w:rPr>
        <w:t>disputes, including intellectual property matters, business torts, contracts, securities claims, 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governance, and employment-related issues. Known for his strategic and client-centric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approach, Steve tries cases, handles appeals, engages in alternative dispute resolution (ADR),</w:t>
      </w:r>
      <w:r>
        <w:rPr>
          <w:color w:val="6E6158"/>
          <w:spacing w:val="40"/>
        </w:rPr>
        <w:t> </w:t>
      </w:r>
      <w:r>
        <w:rPr>
          <w:color w:val="6E6158"/>
        </w:rPr>
        <w:t>and assists clients with litigation-related counseling.</w:t>
      </w:r>
    </w:p>
    <w:p>
      <w:pPr>
        <w:pStyle w:val="BodyText"/>
        <w:spacing w:line="295" w:lineRule="auto" w:before="203"/>
        <w:ind w:left="104" w:right="329"/>
      </w:pPr>
      <w:r>
        <w:rPr>
          <w:color w:val="6E6158"/>
        </w:rPr>
        <w:t>Prior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joining</w:t>
      </w:r>
      <w:r>
        <w:rPr>
          <w:color w:val="6E6158"/>
          <w:spacing w:val="27"/>
        </w:rPr>
        <w:t> </w:t>
      </w:r>
      <w:r>
        <w:rPr>
          <w:color w:val="6E6158"/>
        </w:rPr>
        <w:t>Fennemore,</w:t>
      </w:r>
      <w:r>
        <w:rPr>
          <w:color w:val="6E6158"/>
          <w:spacing w:val="27"/>
        </w:rPr>
        <w:t> </w:t>
      </w:r>
      <w:r>
        <w:rPr>
          <w:color w:val="6E6158"/>
        </w:rPr>
        <w:t>Steve</w:t>
      </w:r>
      <w:r>
        <w:rPr>
          <w:color w:val="6E6158"/>
          <w:spacing w:val="27"/>
        </w:rPr>
        <w:t> </w:t>
      </w:r>
      <w:r>
        <w:rPr>
          <w:color w:val="6E6158"/>
        </w:rPr>
        <w:t>practiced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Savitt</w:t>
      </w:r>
      <w:r>
        <w:rPr>
          <w:color w:val="6E6158"/>
          <w:spacing w:val="27"/>
        </w:rPr>
        <w:t> </w:t>
      </w:r>
      <w:r>
        <w:rPr>
          <w:color w:val="6E6158"/>
        </w:rPr>
        <w:t>Bruce</w:t>
      </w:r>
      <w:r>
        <w:rPr>
          <w:color w:val="6E6158"/>
          <w:spacing w:val="27"/>
        </w:rPr>
        <w:t> </w:t>
      </w:r>
      <w:r>
        <w:rPr>
          <w:color w:val="6E6158"/>
        </w:rPr>
        <w:t>&amp;</w:t>
      </w:r>
      <w:r>
        <w:rPr>
          <w:color w:val="6E6158"/>
          <w:spacing w:val="27"/>
        </w:rPr>
        <w:t> </w:t>
      </w:r>
      <w:r>
        <w:rPr>
          <w:color w:val="6E6158"/>
        </w:rPr>
        <w:t>Willey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Seattle,</w:t>
      </w:r>
      <w:r>
        <w:rPr>
          <w:color w:val="6E6158"/>
          <w:spacing w:val="27"/>
        </w:rPr>
        <w:t> </w:t>
      </w:r>
      <w:r>
        <w:rPr>
          <w:color w:val="6E6158"/>
        </w:rPr>
        <w:t>Latham</w:t>
      </w:r>
      <w:r>
        <w:rPr>
          <w:color w:val="6E6158"/>
          <w:spacing w:val="27"/>
        </w:rPr>
        <w:t> </w:t>
      </w:r>
      <w:r>
        <w:rPr>
          <w:color w:val="6E6158"/>
        </w:rPr>
        <w:t>&amp; Watkins in Menlo Park, and Perkins Coie in Seattle.</w:t>
      </w:r>
      <w:r>
        <w:rPr>
          <w:color w:val="6E6158"/>
          <w:spacing w:val="76"/>
        </w:rPr>
        <w:t> </w:t>
      </w:r>
      <w:r>
        <w:rPr>
          <w:color w:val="6E6158"/>
        </w:rPr>
        <w:t>Steve also brings experience from his time as the sole Corporate Counsel for a start-up, handling a range of legal matters. A cum laude</w:t>
      </w:r>
      <w:r>
        <w:rPr>
          <w:color w:val="6E6158"/>
          <w:spacing w:val="40"/>
        </w:rPr>
        <w:t> </w:t>
      </w:r>
      <w:r>
        <w:rPr>
          <w:color w:val="6E6158"/>
        </w:rPr>
        <w:t>graduate of the University of Wisconsin Law School, Steve is licensed in both Washington 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California.</w:t>
      </w:r>
    </w:p>
    <w:p>
      <w:pPr>
        <w:pStyle w:val="BodyText"/>
        <w:spacing w:line="295" w:lineRule="auto" w:before="195"/>
        <w:ind w:left="104" w:right="98"/>
      </w:pP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</w:rPr>
        <w:t>lives,</w:t>
      </w:r>
      <w:r>
        <w:rPr>
          <w:color w:val="6E6158"/>
          <w:spacing w:val="12"/>
        </w:rPr>
        <w:t> </w:t>
      </w:r>
      <w:r>
        <w:rPr>
          <w:color w:val="6E6158"/>
        </w:rPr>
        <w:t>Steve</w:t>
      </w:r>
      <w:r>
        <w:rPr>
          <w:color w:val="6E6158"/>
          <w:spacing w:val="12"/>
        </w:rPr>
        <w:t> </w:t>
      </w:r>
      <w:r>
        <w:rPr>
          <w:color w:val="6E6158"/>
        </w:rPr>
        <w:t>taught</w:t>
      </w:r>
      <w:r>
        <w:rPr>
          <w:color w:val="6E6158"/>
          <w:spacing w:val="12"/>
        </w:rPr>
        <w:t> </w:t>
      </w:r>
      <w:r>
        <w:rPr>
          <w:color w:val="6E6158"/>
        </w:rPr>
        <w:t>high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2"/>
        </w:rPr>
        <w:t> </w:t>
      </w:r>
      <w:r>
        <w:rPr>
          <w:color w:val="6E6158"/>
        </w:rPr>
        <w:t>was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free-lance</w:t>
      </w:r>
      <w:r>
        <w:rPr>
          <w:color w:val="6E6158"/>
          <w:spacing w:val="12"/>
        </w:rPr>
        <w:t> </w:t>
      </w:r>
      <w:r>
        <w:rPr>
          <w:color w:val="6E6158"/>
        </w:rPr>
        <w:t>writer,</w:t>
      </w:r>
      <w:r>
        <w:rPr>
          <w:color w:val="6E6158"/>
          <w:spacing w:val="12"/>
        </w:rPr>
        <w:t> </w:t>
      </w:r>
      <w:r>
        <w:rPr>
          <w:color w:val="6E6158"/>
        </w:rPr>
        <w:t>did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stint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chef,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worked in a nightclub. Steve lives on Bainbridge Island with the lovely and talented Gretchen and their</w:t>
      </w:r>
      <w:r>
        <w:rPr>
          <w:color w:val="6E6158"/>
          <w:spacing w:val="40"/>
        </w:rPr>
        <w:t> </w:t>
      </w:r>
      <w:r>
        <w:rPr>
          <w:color w:val="6E6158"/>
        </w:rPr>
        <w:t>three children. When not working like a dog or (metaphorically) arm-wrestling with his teenagers,</w:t>
      </w:r>
      <w:r>
        <w:rPr>
          <w:color w:val="6E6158"/>
          <w:spacing w:val="40"/>
        </w:rPr>
        <w:t> </w:t>
      </w:r>
      <w:r>
        <w:rPr>
          <w:color w:val="6E6158"/>
        </w:rPr>
        <w:t>Steve</w:t>
      </w:r>
      <w:r>
        <w:rPr>
          <w:color w:val="6E6158"/>
          <w:spacing w:val="22"/>
        </w:rPr>
        <w:t> </w:t>
      </w:r>
      <w:r>
        <w:rPr>
          <w:color w:val="6E6158"/>
        </w:rPr>
        <w:t>likes</w:t>
      </w:r>
      <w:r>
        <w:rPr>
          <w:color w:val="6E6158"/>
          <w:spacing w:val="22"/>
        </w:rPr>
        <w:t> </w:t>
      </w:r>
      <w:r>
        <w:rPr>
          <w:color w:val="6E6158"/>
        </w:rPr>
        <w:t>piña</w:t>
      </w:r>
      <w:r>
        <w:rPr>
          <w:color w:val="6E6158"/>
          <w:spacing w:val="22"/>
        </w:rPr>
        <w:t> </w:t>
      </w:r>
      <w:r>
        <w:rPr>
          <w:color w:val="6E6158"/>
        </w:rPr>
        <w:t>coladas,</w:t>
      </w:r>
      <w:r>
        <w:rPr>
          <w:color w:val="6E6158"/>
          <w:spacing w:val="22"/>
        </w:rPr>
        <w:t> </w:t>
      </w:r>
      <w:r>
        <w:rPr>
          <w:color w:val="6E6158"/>
        </w:rPr>
        <w:t>getting</w:t>
      </w:r>
      <w:r>
        <w:rPr>
          <w:color w:val="6E6158"/>
          <w:spacing w:val="22"/>
        </w:rPr>
        <w:t> </w:t>
      </w:r>
      <w:r>
        <w:rPr>
          <w:color w:val="6E6158"/>
        </w:rPr>
        <w:t>caught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rain,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feel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ocean</w:t>
      </w:r>
      <w:r>
        <w:rPr>
          <w:color w:val="6E6158"/>
          <w:spacing w:val="22"/>
        </w:rPr>
        <w:t> </w:t>
      </w:r>
      <w:r>
        <w:rPr>
          <w:color w:val="6E6158"/>
        </w:rPr>
        <w:t>and,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course,</w:t>
      </w:r>
      <w:r>
        <w:rPr>
          <w:color w:val="6E6158"/>
          <w:spacing w:val="22"/>
        </w:rPr>
        <w:t> </w:t>
      </w:r>
      <w:r>
        <w:rPr>
          <w:color w:val="6E6158"/>
        </w:rPr>
        <w:t>the taste of champagne.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157838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266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Wisconsin,</w:t>
      </w:r>
      <w:r>
        <w:rPr>
          <w:color w:val="6E6158"/>
          <w:spacing w:val="10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173498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1291pt;width:1.65pt;height:1.65pt;mso-position-horizontal-relative:page;mso-position-vertical-relative:paragraph;z-index:15729664" id="docshape1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Williams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68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158078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163pt;width:1.65pt;height:1.65pt;mso-position-horizontal-relative:page;mso-position-vertical-relative:paragraph;z-index:15730176" id="docshape13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416444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905pt;width:1.65pt;height:1.65pt;mso-position-horizontal-relative:page;mso-position-vertical-relative:paragraph;z-index:15730688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674810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4674pt;width:1.65pt;height:1.65pt;mso-position-horizontal-relative:page;mso-position-vertical-relative:paragraph;z-index:15731200" id="docshape15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933175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78416pt;width:1.65pt;height:1.65pt;mso-position-horizontal-relative:page;mso-position-vertical-relative:paragraph;z-index:15731712" id="docshape16" coordorigin="1675,1470" coordsize="33,33" path="m1696,1502l1687,1502,1683,1501,1676,1494,1675,1490,1675,1481,1676,1478,1683,1471,1687,1470,1696,1470,1699,1471,1706,1478,1707,1481,1707,1486,1707,1490,1706,1494,1699,1501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Estate Litigation Intellectual Property 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line="420" w:lineRule="auto"/>
        <w:ind w:right="58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61965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79187pt;width:1.65pt;height:1.65pt;mso-position-horizontal-relative:page;mso-position-vertical-relative:paragraph;z-index:15732224" id="docshape17" coordorigin="1675,98" coordsize="33,33" path="m1696,130l1687,130,1683,129,1676,122,1675,118,1675,109,1676,106,1683,99,1687,98,1696,98,1699,99,1706,106,1707,109,1707,114,1707,118,1706,122,1699,129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320331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2954pt;width:1.65pt;height:1.65pt;mso-position-horizontal-relative:page;mso-position-vertical-relative:paragraph;z-index:15732736" id="docshape18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Privacy &amp; Data </w:t>
      </w:r>
      <w:r>
        <w:rPr>
          <w:color w:val="6E6158"/>
        </w:rPr>
        <w:t>Security Professional Liability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Heading1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5" w:lineRule="auto" w:before="137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431967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3168pt;width:1.65pt;height:1.65pt;mso-position-horizontal-relative:page;mso-position-vertical-relative:paragraph;z-index:15733760" id="docshape20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Landis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PFD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and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Baseball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Seattle.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claims under the Americans with Disabilities Act regarding sightlines, distribution, and pricing for accessible seats at T-Mobile Park;</w:t>
      </w:r>
      <w:r>
        <w:rPr>
          <w:color w:val="6E6158"/>
          <w:spacing w:val="40"/>
        </w:rPr>
        <w:t> </w:t>
      </w:r>
      <w:r>
        <w:rPr>
          <w:color w:val="6E6158"/>
        </w:rPr>
        <w:t>obtained</w:t>
      </w:r>
      <w:r>
        <w:rPr>
          <w:color w:val="6E6158"/>
          <w:spacing w:val="34"/>
        </w:rPr>
        <w:t> </w:t>
      </w:r>
      <w:r>
        <w:rPr>
          <w:color w:val="6E6158"/>
        </w:rPr>
        <w:t>defense</w:t>
      </w:r>
      <w:r>
        <w:rPr>
          <w:color w:val="6E6158"/>
          <w:spacing w:val="34"/>
        </w:rPr>
        <w:t> </w:t>
      </w:r>
      <w:r>
        <w:rPr>
          <w:color w:val="6E6158"/>
        </w:rPr>
        <w:t>verdict</w:t>
      </w:r>
      <w:r>
        <w:rPr>
          <w:color w:val="6E6158"/>
          <w:spacing w:val="34"/>
        </w:rPr>
        <w:t> </w:t>
      </w:r>
      <w:r>
        <w:rPr>
          <w:color w:val="6E6158"/>
        </w:rPr>
        <w:t>at</w:t>
      </w:r>
      <w:r>
        <w:rPr>
          <w:color w:val="6E6158"/>
          <w:spacing w:val="34"/>
        </w:rPr>
        <w:t> </w:t>
      </w:r>
      <w:r>
        <w:rPr>
          <w:color w:val="6E6158"/>
        </w:rPr>
        <w:t>trial,</w:t>
      </w:r>
      <w:r>
        <w:rPr>
          <w:color w:val="6E6158"/>
          <w:spacing w:val="34"/>
        </w:rPr>
        <w:t> </w:t>
      </w:r>
      <w:r>
        <w:rPr>
          <w:color w:val="6E6158"/>
        </w:rPr>
        <w:t>partial</w:t>
      </w:r>
      <w:r>
        <w:rPr>
          <w:color w:val="6E6158"/>
          <w:spacing w:val="34"/>
        </w:rPr>
        <w:t> </w:t>
      </w:r>
      <w:r>
        <w:rPr>
          <w:color w:val="6E6158"/>
        </w:rPr>
        <w:t>affirmance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appeal,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complete</w:t>
      </w:r>
      <w:r>
        <w:rPr>
          <w:color w:val="6E6158"/>
          <w:spacing w:val="34"/>
        </w:rPr>
        <w:t> </w:t>
      </w:r>
      <w:r>
        <w:rPr>
          <w:color w:val="6E6158"/>
        </w:rPr>
        <w:t>defense</w:t>
      </w:r>
    </w:p>
    <w:p>
      <w:pPr>
        <w:pStyle w:val="BodyText"/>
        <w:spacing w:line="231" w:lineRule="exact"/>
      </w:pPr>
      <w:r>
        <w:rPr>
          <w:color w:val="6E6158"/>
        </w:rPr>
        <w:t>judgment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remand.</w:t>
      </w:r>
    </w:p>
    <w:p>
      <w:pPr>
        <w:spacing w:line="297" w:lineRule="auto" w:before="164"/>
        <w:ind w:left="356" w:right="12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356013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256pt;width:1.65pt;height:1.65pt;mso-position-horizontal-relative:page;mso-position-vertical-relative:paragraph;z-index:15734272" id="docshape21" coordorigin="1675,561" coordsize="33,33" path="m1696,593l1687,593,1683,592,1676,585,1675,581,1675,572,1676,569,1683,562,1687,561,1696,561,1699,562,1706,569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Nippon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Dynawave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Packaging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Co.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North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Pacific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Paper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Company.</w:t>
      </w:r>
      <w:r>
        <w:rPr>
          <w:b/>
          <w:i/>
          <w:color w:val="6E6158"/>
          <w:spacing w:val="31"/>
          <w:sz w:val="20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and defended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counterclaims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arising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from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site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services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agreement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interconnected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industrial</w:t>
      </w:r>
    </w:p>
    <w:p>
      <w:pPr>
        <w:pStyle w:val="BodyText"/>
        <w:spacing w:line="228" w:lineRule="exact"/>
      </w:pPr>
      <w:r>
        <w:rPr>
          <w:color w:val="6E6158"/>
        </w:rPr>
        <w:t>facilities;</w:t>
      </w:r>
      <w:r>
        <w:rPr>
          <w:color w:val="6E6158"/>
          <w:spacing w:val="17"/>
        </w:rPr>
        <w:t> </w:t>
      </w:r>
      <w:r>
        <w:rPr>
          <w:color w:val="6E6158"/>
        </w:rPr>
        <w:t>obtained</w:t>
      </w:r>
      <w:r>
        <w:rPr>
          <w:color w:val="6E6158"/>
          <w:spacing w:val="18"/>
        </w:rPr>
        <w:t> </w:t>
      </w:r>
      <w:r>
        <w:rPr>
          <w:color w:val="6E6158"/>
        </w:rPr>
        <w:t>favorable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settlement.</w:t>
      </w:r>
    </w:p>
    <w:p>
      <w:pPr>
        <w:pStyle w:val="BodyText"/>
        <w:spacing w:line="295" w:lineRule="auto" w:before="164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448937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49426pt;width:1.65pt;height:1.65pt;mso-position-horizontal-relative:page;mso-position-vertical-relative:paragraph;z-index:15734784" id="docshape22" coordorigin="1675,707" coordsize="33,33" path="m1696,740l1687,740,1683,738,1676,732,1675,728,1675,719,1676,715,1683,709,1687,707,1696,707,1699,709,1706,715,1707,719,1707,723,1707,728,1706,732,1699,738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InfoFlows v. Corbis.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Prosecuted claims for misappropriation of trade secrets, fraud and breach of contract relating to digital image tracking technology, and defended related</w:t>
      </w:r>
      <w:r>
        <w:rPr>
          <w:color w:val="6E6158"/>
          <w:spacing w:val="40"/>
        </w:rPr>
        <w:t> </w:t>
      </w:r>
      <w:r>
        <w:rPr>
          <w:color w:val="6E6158"/>
        </w:rPr>
        <w:t>counterclaims; obtained $36 million jury verdict and defeated counterclaims in three-week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7" w:lineRule="auto" w:before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320515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7427pt;width:1.65pt;height:1.65pt;mso-position-horizontal-relative:page;mso-position-vertical-relative:paragraph;z-index:15735296" id="docshape23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Reynolds v. Reynolds.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challenge to revocable living trust, by which child sought to dispossess</w:t>
      </w:r>
      <w:r>
        <w:rPr>
          <w:color w:val="6E6158"/>
          <w:spacing w:val="37"/>
        </w:rPr>
        <w:t> </w:t>
      </w:r>
      <w:r>
        <w:rPr>
          <w:color w:val="6E6158"/>
        </w:rPr>
        <w:t>parents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beneficiaries;</w:t>
      </w:r>
      <w:r>
        <w:rPr>
          <w:color w:val="6E6158"/>
          <w:spacing w:val="37"/>
        </w:rPr>
        <w:t> </w:t>
      </w:r>
      <w:r>
        <w:rPr>
          <w:color w:val="6E6158"/>
        </w:rPr>
        <w:t>obtained</w:t>
      </w:r>
      <w:r>
        <w:rPr>
          <w:color w:val="6E6158"/>
          <w:spacing w:val="37"/>
        </w:rPr>
        <w:t> </w:t>
      </w:r>
      <w:r>
        <w:rPr>
          <w:color w:val="6E6158"/>
        </w:rPr>
        <w:t>ruling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declaratory</w:t>
      </w:r>
      <w:r>
        <w:rPr>
          <w:color w:val="6E6158"/>
          <w:spacing w:val="37"/>
        </w:rPr>
        <w:t> </w:t>
      </w:r>
      <w:r>
        <w:rPr>
          <w:color w:val="6E6158"/>
        </w:rPr>
        <w:t>relief</w:t>
      </w:r>
      <w:r>
        <w:rPr>
          <w:color w:val="6E6158"/>
          <w:spacing w:val="37"/>
        </w:rPr>
        <w:t> </w:t>
      </w:r>
      <w:r>
        <w:rPr>
          <w:color w:val="6E6158"/>
        </w:rPr>
        <w:t>that</w:t>
      </w:r>
      <w:r>
        <w:rPr>
          <w:color w:val="6E6158"/>
          <w:spacing w:val="37"/>
        </w:rPr>
        <w:t> </w:t>
      </w:r>
      <w:r>
        <w:rPr>
          <w:color w:val="6E6158"/>
        </w:rPr>
        <w:t>maintained</w:t>
      </w:r>
    </w:p>
    <w:p>
      <w:pPr>
        <w:pStyle w:val="BodyText"/>
        <w:spacing w:line="228" w:lineRule="exact"/>
      </w:pPr>
      <w:r>
        <w:rPr>
          <w:color w:val="6E6158"/>
        </w:rPr>
        <w:t>parents’</w:t>
      </w:r>
      <w:r>
        <w:rPr>
          <w:color w:val="6E6158"/>
          <w:spacing w:val="13"/>
        </w:rPr>
        <w:t> </w:t>
      </w:r>
      <w:r>
        <w:rPr>
          <w:color w:val="6E6158"/>
        </w:rPr>
        <w:t>beneficiary</w:t>
      </w:r>
      <w:r>
        <w:rPr>
          <w:color w:val="6E6158"/>
          <w:spacing w:val="13"/>
        </w:rPr>
        <w:t> </w:t>
      </w:r>
      <w:r>
        <w:rPr>
          <w:color w:val="6E6158"/>
        </w:rPr>
        <w:t>status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entitlement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trust</w:t>
      </w:r>
      <w:r>
        <w:rPr>
          <w:color w:val="6E6158"/>
          <w:spacing w:val="13"/>
        </w:rPr>
        <w:t> </w:t>
      </w:r>
      <w:r>
        <w:rPr>
          <w:color w:val="6E6158"/>
        </w:rPr>
        <w:t>proceeds</w:t>
      </w:r>
      <w:r>
        <w:rPr>
          <w:color w:val="6E6158"/>
          <w:spacing w:val="14"/>
        </w:rPr>
        <w:t> </w:t>
      </w:r>
      <w:r>
        <w:rPr>
          <w:color w:val="6E6158"/>
        </w:rPr>
        <w:t>after</w:t>
      </w:r>
      <w:r>
        <w:rPr>
          <w:color w:val="6E6158"/>
          <w:spacing w:val="13"/>
        </w:rPr>
        <w:t> </w:t>
      </w:r>
      <w:r>
        <w:rPr>
          <w:color w:val="6E6158"/>
        </w:rPr>
        <w:t>bench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trial.</w:t>
      </w:r>
    </w:p>
    <w:p>
      <w:pPr>
        <w:spacing w:line="288" w:lineRule="auto" w:before="164"/>
        <w:ind w:left="356" w:right="12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262976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6825pt;width:1.65pt;height:1.65pt;mso-position-horizontal-relative:page;mso-position-vertical-relative:paragraph;z-index:15735808" id="docshape24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Kumar v. Convenience Retailers, LLC,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Defended employment discrimination claims under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Title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VII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Washington’s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Against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Discrimination;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obtained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defense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verdict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trial.</w:t>
      </w:r>
    </w:p>
    <w:p>
      <w:pPr>
        <w:spacing w:line="290" w:lineRule="auto" w:before="126"/>
        <w:ind w:left="356" w:right="12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331872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131685pt;width:1.65pt;height:1.65pt;mso-position-horizontal-relative:page;mso-position-vertical-relative:paragraph;z-index:15736320" id="docshape25" coordorigin="1675,523" coordsize="33,33" path="m1696,555l1687,555,1683,554,1676,547,1675,543,1675,534,1676,531,1683,524,1687,523,1696,523,1699,524,1706,531,1707,534,1707,539,1707,543,1706,547,1699,554,1696,5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Sornsin, et al. v. Scout Media,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Defended officers and directors of defunct media company against statutory wage claims; obtained summary judgment dismissal, affirmed </w:t>
      </w:r>
      <w:r>
        <w:rPr>
          <w:color w:val="6E6158"/>
          <w:sz w:val="19"/>
        </w:rPr>
        <w:t>on</w:t>
      </w:r>
      <w:r>
        <w:rPr>
          <w:color w:val="6E6158"/>
          <w:spacing w:val="40"/>
          <w:sz w:val="19"/>
        </w:rPr>
        <w:t> </w:t>
      </w:r>
      <w:r>
        <w:rPr>
          <w:color w:val="6E6158"/>
          <w:spacing w:val="-2"/>
          <w:sz w:val="19"/>
        </w:rPr>
        <w:t>appeal.</w:t>
      </w:r>
    </w:p>
    <w:p>
      <w:pPr>
        <w:spacing w:line="297" w:lineRule="auto" w:before="11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418560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957497pt;width:1.65pt;height:1.65pt;mso-position-horizontal-relative:page;mso-position-vertical-relative:paragraph;z-index:15736832" id="docshape26" coordorigin="1675,659" coordsize="33,33" path="m1696,692l1687,692,1683,690,1676,684,1675,680,1675,671,1676,667,1683,661,1687,659,1696,659,1699,661,1706,667,1707,671,1707,675,1707,680,1706,684,1699,690,1696,6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Optistor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Technologies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Nutanix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Defended cloud software and infrastructure-</w:t>
      </w:r>
      <w:r>
        <w:rPr>
          <w:color w:val="6E6158"/>
          <w:sz w:val="19"/>
        </w:rPr>
        <w:t>solution provider and its employee against claims for breach of contract, trade secret</w:t>
      </w:r>
    </w:p>
    <w:p>
      <w:pPr>
        <w:pStyle w:val="BodyText"/>
        <w:spacing w:line="292" w:lineRule="auto"/>
        <w:ind w:right="329"/>
      </w:pPr>
      <w:r>
        <w:rPr>
          <w:color w:val="6E6158"/>
        </w:rPr>
        <w:t>misappropriation, and tortious interference; obtained summary judgment ruling,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voiding of employee non-compete, and then favorable settlement.</w:t>
      </w:r>
    </w:p>
    <w:p>
      <w:pPr>
        <w:pStyle w:val="BodyText"/>
        <w:spacing w:line="295" w:lineRule="auto" w:before="108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320539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9363pt;width:1.65pt;height:1.65pt;mso-position-horizontal-relative:page;mso-position-vertical-relative:paragraph;z-index:15737344" id="docshape27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Shareholder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Insite,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WTAS,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LLC,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Prosecuted claims for breach of contract, trade secret misappropriation, tortious interference, and civil conspiracy; obtained preliminary</w:t>
      </w:r>
      <w:r>
        <w:rPr>
          <w:color w:val="6E6158"/>
          <w:spacing w:val="40"/>
        </w:rPr>
        <w:t> </w:t>
      </w:r>
      <w:r>
        <w:rPr>
          <w:color w:val="6E6158"/>
        </w:rPr>
        <w:t>injunction after expedited discovery, and then favorable settlement.</w:t>
      </w:r>
    </w:p>
    <w:p>
      <w:pPr>
        <w:pStyle w:val="BodyText"/>
        <w:spacing w:line="295" w:lineRule="auto" w:before="110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502637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577782pt;width:1.65pt;height:1.65pt;mso-position-horizontal-relative:page;mso-position-vertical-relative:paragraph;z-index:15737856" id="docshape28" coordorigin="1675,792" coordsize="33,33" path="m1696,824l1687,824,1683,823,1676,816,1675,812,1675,803,1676,800,1683,793,1687,792,1696,792,1699,793,1706,800,1707,803,1707,808,1707,812,1706,816,1699,823,1696,8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ChemPoint v. Xenon Arc Inc.,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technology startup and founders against claims for misappropriation of trade secrets, false advertising, usurpation of corporate opportunity and breach of fiduciary duty; obtained ruling entitling clients to advancement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fees under plaintiff’s articles of incorporation; obtained partial summary judgment, and then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2" w:lineRule="auto" w:before="115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412579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48661pt;width:1.65pt;height:1.65pt;mso-position-horizontal-relative:page;mso-position-vertical-relative:paragraph;z-index:15738368" id="docshape29" coordorigin="1675,650" coordsize="33,33" path="m1696,682l1687,682,1683,681,1676,674,1675,671,1675,662,1676,658,1683,651,1687,650,1696,650,1699,651,1706,658,1707,662,1707,666,1707,671,1706,674,1699,681,1696,6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Maier v. Sesame Communications Inc.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Prosecuted claims for breach of employment agreement, wage and hour law violations, and tortious interference with exercise of stock</w:t>
      </w:r>
      <w:r>
        <w:rPr>
          <w:color w:val="6E6158"/>
          <w:spacing w:val="40"/>
        </w:rPr>
        <w:t> </w:t>
      </w:r>
      <w:r>
        <w:rPr>
          <w:color w:val="6E6158"/>
        </w:rPr>
        <w:t>options arising from termination of company founder and CEO’s employment;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0" w:lineRule="auto" w:before="117"/>
        <w:ind w:right="4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326434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03543pt;width:1.65pt;height:1.65pt;mso-position-horizontal-relative:page;mso-position-vertical-relative:paragraph;z-index:15738880" id="docshape30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Amazon v. Expedia.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claims and prosecuted counterclaims for breach of linking and co-branding agreement between national e-commerce giants; defeated motions </w:t>
      </w:r>
      <w:r>
        <w:rPr>
          <w:color w:val="6E6158"/>
        </w:rPr>
        <w:t>for summary</w:t>
      </w:r>
      <w:r>
        <w:rPr>
          <w:color w:val="6E6158"/>
          <w:spacing w:val="40"/>
        </w:rPr>
        <w:t> </w:t>
      </w:r>
      <w:r>
        <w:rPr>
          <w:color w:val="6E6158"/>
        </w:rPr>
        <w:t>judgment,</w:t>
      </w:r>
      <w:r>
        <w:rPr>
          <w:color w:val="6E6158"/>
          <w:spacing w:val="40"/>
        </w:rPr>
        <w:t> </w:t>
      </w:r>
      <w:r>
        <w:rPr>
          <w:color w:val="6E6158"/>
        </w:rPr>
        <w:t>developed</w:t>
      </w:r>
      <w:r>
        <w:rPr>
          <w:color w:val="6E6158"/>
          <w:spacing w:val="40"/>
        </w:rPr>
        <w:t> </w:t>
      </w:r>
      <w:r>
        <w:rPr>
          <w:color w:val="6E6158"/>
        </w:rPr>
        <w:t>counterclaims,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then</w:t>
      </w:r>
      <w:r>
        <w:rPr>
          <w:color w:val="6E6158"/>
          <w:spacing w:val="40"/>
        </w:rPr>
        <w:t> </w:t>
      </w:r>
      <w:r>
        <w:rPr>
          <w:color w:val="6E6158"/>
        </w:rPr>
        <w:t>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</w:t>
      </w:r>
      <w:r>
        <w:rPr>
          <w:color w:val="6E6158"/>
          <w:spacing w:val="40"/>
        </w:rPr>
        <w:t> </w:t>
      </w:r>
      <w:r>
        <w:rPr>
          <w:color w:val="6E6158"/>
        </w:rPr>
        <w:t>settlement.</w:t>
      </w:r>
    </w:p>
    <w:p>
      <w:pPr>
        <w:pStyle w:val="BodyText"/>
        <w:spacing w:line="297" w:lineRule="auto" w:before="116"/>
        <w:ind w:right="4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237981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38701pt;width:1.65pt;height:1.65pt;mso-position-horizontal-relative:page;mso-position-vertical-relative:paragraph;z-index:15739392" id="docshape31" coordorigin="1675,375" coordsize="33,33" path="m1696,407l1687,407,1683,406,1676,399,1675,396,1675,387,1676,383,1683,376,1687,375,1696,375,1699,376,1706,383,1707,387,1707,391,1707,396,1706,399,1699,406,1696,4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Confidential Arbitration.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limited partnership in defending a claim for </w:t>
      </w:r>
      <w:r>
        <w:rPr>
          <w:color w:val="6E6158"/>
        </w:rPr>
        <w:t>statutory dissolution</w:t>
      </w:r>
      <w:r>
        <w:rPr>
          <w:color w:val="6E6158"/>
          <w:spacing w:val="36"/>
        </w:rPr>
        <w:t> </w:t>
      </w:r>
      <w:r>
        <w:rPr>
          <w:color w:val="6E6158"/>
        </w:rPr>
        <w:t>brought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its</w:t>
      </w:r>
      <w:r>
        <w:rPr>
          <w:color w:val="6E6158"/>
          <w:spacing w:val="36"/>
        </w:rPr>
        <w:t> </w:t>
      </w:r>
      <w:r>
        <w:rPr>
          <w:color w:val="6E6158"/>
        </w:rPr>
        <w:t>former</w:t>
      </w:r>
      <w:r>
        <w:rPr>
          <w:color w:val="6E6158"/>
          <w:spacing w:val="36"/>
        </w:rPr>
        <w:t> </w:t>
      </w:r>
      <w:r>
        <w:rPr>
          <w:color w:val="6E6158"/>
        </w:rPr>
        <w:t>general</w:t>
      </w:r>
      <w:r>
        <w:rPr>
          <w:color w:val="6E6158"/>
          <w:spacing w:val="36"/>
        </w:rPr>
        <w:t> </w:t>
      </w:r>
      <w:r>
        <w:rPr>
          <w:color w:val="6E6158"/>
        </w:rPr>
        <w:t>partner;</w:t>
      </w:r>
      <w:r>
        <w:rPr>
          <w:color w:val="6E6158"/>
          <w:spacing w:val="36"/>
        </w:rPr>
        <w:t> </w:t>
      </w:r>
      <w:r>
        <w:rPr>
          <w:color w:val="6E6158"/>
        </w:rPr>
        <w:t>obtained</w:t>
      </w:r>
      <w:r>
        <w:rPr>
          <w:color w:val="6E6158"/>
          <w:spacing w:val="36"/>
        </w:rPr>
        <w:t> </w:t>
      </w:r>
      <w:r>
        <w:rPr>
          <w:color w:val="6E6158"/>
        </w:rPr>
        <w:t>award</w:t>
      </w:r>
      <w:r>
        <w:rPr>
          <w:color w:val="6E6158"/>
          <w:spacing w:val="36"/>
        </w:rPr>
        <w:t> </w:t>
      </w:r>
      <w:r>
        <w:rPr>
          <w:color w:val="6E6158"/>
        </w:rPr>
        <w:t>denying</w:t>
      </w:r>
      <w:r>
        <w:rPr>
          <w:color w:val="6E6158"/>
          <w:spacing w:val="36"/>
        </w:rPr>
        <w:t> </w:t>
      </w:r>
      <w:r>
        <w:rPr>
          <w:color w:val="6E6158"/>
        </w:rPr>
        <w:t>claim.</w:t>
      </w:r>
    </w:p>
    <w:p>
      <w:pPr>
        <w:pStyle w:val="Heading1"/>
        <w:spacing w:before="27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5"/>
      </w:pPr>
      <w:r>
        <w:rPr>
          <w:color w:val="6E6158"/>
        </w:rPr>
        <w:t>Best</w:t>
      </w:r>
      <w:r>
        <w:rPr>
          <w:color w:val="6E6158"/>
          <w:spacing w:val="13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America,</w:t>
      </w:r>
      <w:r>
        <w:rPr>
          <w:color w:val="6E6158"/>
          <w:spacing w:val="14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2025</w:t>
      </w:r>
    </w:p>
    <w:p>
      <w:pPr>
        <w:pStyle w:val="BodyText"/>
        <w:spacing w:line="427" w:lineRule="auto" w:before="174"/>
        <w:ind w:right="3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175166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637pt;width:1.65pt;height:1.65pt;mso-position-horizontal-relative:page;mso-position-vertical-relative:paragraph;z-index:15739904" id="docshape3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433532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6383pt;width:1.65pt;height:1.65pt;mso-position-horizontal-relative:page;mso-position-vertical-relative:paragraph;z-index:15740416" id="docshape34" coordorigin="1675,683" coordsize="33,33" path="m1696,715l1687,715,1683,714,1676,707,1675,703,1675,695,1676,691,1683,684,1687,683,1696,683,1699,684,1706,691,1707,695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Chambers USA Guide to Leading Lawyers, 2013, 2016-</w:t>
      </w:r>
      <w:r>
        <w:rPr>
          <w:color w:val="6E6158"/>
        </w:rPr>
        <w:t>2024 Washington Super Lawyers, 2006-2025</w:t>
      </w:r>
    </w:p>
    <w:p>
      <w:pPr>
        <w:pStyle w:val="BodyText"/>
        <w:spacing w:line="420" w:lineRule="auto"/>
        <w:ind w:right="4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54791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4305pt;width:1.65pt;height:1.65pt;mso-position-horizontal-relative:page;mso-position-vertical-relative:paragraph;z-index:15740928" id="docshape35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318324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493pt;width:1.65pt;height:1.65pt;mso-position-horizontal-relative:page;mso-position-vertical-relative:paragraph;z-index:15741440" id="docshape36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 Super Lawyers Top 100 List, 2017-</w:t>
      </w:r>
      <w:r>
        <w:rPr>
          <w:color w:val="6E6158"/>
        </w:rPr>
        <w:t>2024 BTI Client Service All-Star, 2015, 2019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58949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71pt;width:1.65pt;height:1.65pt;mso-position-horizontal-relative:page;mso-position-vertical-relative:paragraph;z-index:15741952" id="docshape37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“Washington’s</w:t>
      </w:r>
      <w:r>
        <w:rPr>
          <w:color w:val="6E6158"/>
          <w:spacing w:val="16"/>
        </w:rPr>
        <w:t> </w:t>
      </w:r>
      <w:r>
        <w:rPr>
          <w:color w:val="6E6158"/>
        </w:rPr>
        <w:t>Most</w:t>
      </w:r>
      <w:r>
        <w:rPr>
          <w:color w:val="6E6158"/>
          <w:spacing w:val="16"/>
        </w:rPr>
        <w:t> </w:t>
      </w:r>
      <w:r>
        <w:rPr>
          <w:color w:val="6E6158"/>
        </w:rPr>
        <w:t>Amazing</w:t>
      </w:r>
      <w:r>
        <w:rPr>
          <w:color w:val="6E6158"/>
          <w:spacing w:val="16"/>
        </w:rPr>
        <w:t> </w:t>
      </w:r>
      <w:r>
        <w:rPr>
          <w:color w:val="6E6158"/>
        </w:rPr>
        <w:t>Attorneys”,</w:t>
      </w:r>
      <w:r>
        <w:rPr>
          <w:color w:val="6E6158"/>
          <w:spacing w:val="16"/>
        </w:rPr>
        <w:t> </w:t>
      </w:r>
      <w:r>
        <w:rPr>
          <w:color w:val="6E6158"/>
        </w:rPr>
        <w:t>Washington</w:t>
      </w:r>
      <w:r>
        <w:rPr>
          <w:color w:val="6E6158"/>
          <w:spacing w:val="16"/>
        </w:rPr>
        <w:t> </w:t>
      </w:r>
      <w:r>
        <w:rPr>
          <w:color w:val="6E6158"/>
        </w:rPr>
        <w:t>CEO</w:t>
      </w:r>
      <w:r>
        <w:rPr>
          <w:color w:val="6E6158"/>
          <w:spacing w:val="16"/>
        </w:rPr>
        <w:t> </w:t>
      </w:r>
      <w:r>
        <w:rPr>
          <w:color w:val="6E6158"/>
        </w:rPr>
        <w:t>magazine,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before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170398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17223pt;width:1.65pt;height:1.65pt;mso-position-horizontal-relative:page;mso-position-vertical-relative:paragraph;z-index:15742464" id="docshape38" coordorigin="1675,268" coordsize="33,33" path="m1696,301l1687,301,1683,299,1676,293,1675,289,1675,280,1676,276,1683,270,1687,268,1696,268,1699,270,1706,276,1707,280,1707,285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10.0</w:t>
      </w:r>
      <w:r>
        <w:rPr>
          <w:color w:val="6E6158"/>
          <w:spacing w:val="9"/>
        </w:rPr>
        <w:t> </w:t>
      </w:r>
      <w:r>
        <w:rPr>
          <w:color w:val="6E6158"/>
        </w:rPr>
        <w:t>Rating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Avvo.com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245363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19983pt;width:1.65pt;height:1.65pt;mso-position-horizontal-relative:page;mso-position-vertical-relative:paragraph;z-index:15742976" id="docshape39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Co-Editor, “Lexis Nexis Practice Guide: Washington Contract Litigation,” </w:t>
      </w:r>
      <w:r>
        <w:rPr>
          <w:color w:val="6E6158"/>
        </w:rPr>
        <w:t>LexisNexis/Matthew Bender, 2015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236103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832pt;width:1.65pt;height:1.65pt;mso-position-horizontal-relative:page;mso-position-vertical-relative:paragraph;z-index:15743488" id="docshape4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“Finessing the Fine Print: Agreements to Arbitrate and Covenants not to </w:t>
      </w:r>
      <w:r>
        <w:rPr>
          <w:color w:val="6E6158"/>
        </w:rPr>
        <w:t>Compete,” Washington Association of Corporate Counsel, 2014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224446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989pt;width:1.65pt;height:1.65pt;mso-position-horizontal-relative:page;mso-position-vertical-relative:paragraph;z-index:15744000" id="docshape4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“Covering Your Bases: Practical Tips to Deal with and Avoid Litigation,” Washington Association of Corporate Counsel, 2013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143130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087pt;width:1.65pt;height:1.65pt;mso-position-horizontal-relative:page;mso-position-vertical-relative:paragraph;z-index:15744512" id="docshape4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“Anatomy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Deal</w:t>
      </w:r>
      <w:r>
        <w:rPr>
          <w:color w:val="6E6158"/>
          <w:spacing w:val="9"/>
        </w:rPr>
        <w:t> </w:t>
      </w:r>
      <w:r>
        <w:rPr>
          <w:color w:val="6E6158"/>
        </w:rPr>
        <w:t>Gone</w:t>
      </w:r>
      <w:r>
        <w:rPr>
          <w:color w:val="6E6158"/>
          <w:spacing w:val="9"/>
        </w:rPr>
        <w:t> </w:t>
      </w:r>
      <w:r>
        <w:rPr>
          <w:color w:val="6E6158"/>
        </w:rPr>
        <w:t>Bad,”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William</w:t>
      </w:r>
      <w:r>
        <w:rPr>
          <w:color w:val="6E6158"/>
          <w:spacing w:val="9"/>
        </w:rPr>
        <w:t> </w:t>
      </w:r>
      <w:r>
        <w:rPr>
          <w:color w:val="6E6158"/>
        </w:rPr>
        <w:t>L.</w:t>
      </w:r>
      <w:r>
        <w:rPr>
          <w:color w:val="6E6158"/>
          <w:spacing w:val="9"/>
        </w:rPr>
        <w:t> </w:t>
      </w:r>
      <w:r>
        <w:rPr>
          <w:color w:val="6E6158"/>
        </w:rPr>
        <w:t>Dwyer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9"/>
        </w:rPr>
        <w:t> </w:t>
      </w:r>
      <w:r>
        <w:rPr>
          <w:color w:val="6E6158"/>
        </w:rPr>
        <w:t>Inn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74"/>
        <w:ind w:right="1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262761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9880pt;width:1.65pt;height:1.65pt;mso-position-horizontal-relative:page;mso-position-vertical-relative:paragraph;z-index:15745024" id="docshape43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“The New Supreme Court,” Federal Bar Association Annual Federal Practice </w:t>
      </w:r>
      <w:r>
        <w:rPr>
          <w:color w:val="6E6158"/>
        </w:rPr>
        <w:t>CLE, </w:t>
      </w:r>
      <w:r>
        <w:rPr>
          <w:color w:val="6E6158"/>
          <w:spacing w:val="-4"/>
        </w:rPr>
        <w:t>2005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142709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979pt;width:1.65pt;height:1.65pt;mso-position-horizontal-relative:page;mso-position-vertical-relative:paragraph;z-index:15745536" id="docshape4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“Basics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Accounting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2"/>
        </w:rPr>
        <w:t> </w:t>
      </w:r>
      <w:r>
        <w:rPr>
          <w:color w:val="6E6158"/>
        </w:rPr>
        <w:t>Finance,”</w:t>
      </w:r>
      <w:r>
        <w:rPr>
          <w:color w:val="6E6158"/>
          <w:spacing w:val="12"/>
        </w:rPr>
        <w:t> </w:t>
      </w:r>
      <w:r>
        <w:rPr>
          <w:color w:val="6E6158"/>
        </w:rPr>
        <w:t>Practicing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Institute,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2002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1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152603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996pt;width:1.65pt;height:1.65pt;mso-position-horizontal-relative:page;mso-position-vertical-relative:paragraph;z-index:15746048" id="docshape4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416135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609pt;width:1.65pt;height:1.65pt;mso-position-horizontal-relative:page;mso-position-vertical-relative:paragraph;z-index:15746560" id="docshape4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674501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0355pt;width:1.65pt;height:1.65pt;mso-position-horizontal-relative:page;mso-position-vertical-relative:paragraph;z-index:15747072" id="docshape47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Constitution Society for Law and Policy, 2004-</w:t>
      </w:r>
      <w:r>
        <w:rPr>
          <w:color w:val="6E6158"/>
        </w:rPr>
        <w:t>present Member, Federal Bar Association of the Western District of Washington Member, American Bar Association</w:t>
      </w:r>
    </w:p>
    <w:p>
      <w:pPr>
        <w:pStyle w:val="BodyText"/>
        <w:spacing w:line="420" w:lineRule="auto" w:before="5"/>
        <w:ind w:right="49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62911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367pt;width:1.65pt;height:1.65pt;mso-position-horizontal-relative:page;mso-position-vertical-relative:paragraph;z-index:15747584" id="docshape48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321277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7413pt;width:1.65pt;height:1.65pt;mso-position-horizontal-relative:page;mso-position-vertical-relative:paragraph;z-index:15748096" id="docshape49" coordorigin="1675,506" coordsize="33,33" path="m1696,538l1687,538,1683,537,1676,531,1675,527,1675,518,1676,514,1683,508,1687,506,1696,506,1699,508,1706,514,1707,518,1707,522,1707,527,1706,531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584809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48027pt;width:1.65pt;height:1.65pt;mso-position-horizontal-relative:page;mso-position-vertical-relative:paragraph;z-index:15748608" id="docshape50" coordorigin="1675,921" coordsize="33,33" path="m1696,954l1687,954,1683,952,1676,946,1675,942,1675,933,1676,929,1683,923,1687,921,1696,921,1699,923,1706,929,1707,933,1707,937,1707,942,1706,946,1699,952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Washington State Bar </w:t>
      </w:r>
      <w:r>
        <w:rPr>
          <w:color w:val="6E6158"/>
        </w:rPr>
        <w:t>Association Member, The State Bar of California Member, State Bar of Wisconsin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0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157952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96pt;width:1.65pt;height:1.65pt;mso-position-horizontal-relative:page;mso-position-vertical-relative:paragraph;z-index:15749120" id="docshape5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937pt;width:1.65pt;height:1.65pt;mso-position-horizontal-relative:page;mso-position-vertical-relative:paragraph;z-index:15749632" id="docshape5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California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59889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5724pt;width:1.65pt;height:1.65pt;mso-position-horizontal-relative:page;mso-position-vertical-relative:paragraph;z-index:15750144" id="docshape53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States</w:t>
      </w:r>
      <w:r>
        <w:rPr>
          <w:color w:val="6E6158"/>
          <w:spacing w:val="14"/>
        </w:rPr>
        <w:t> </w:t>
      </w:r>
      <w:r>
        <w:rPr>
          <w:color w:val="6E6158"/>
        </w:rPr>
        <w:t>Supreme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420" w:lineRule="auto" w:before="174"/>
        <w:ind w:right="4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175047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24pt;width:1.65pt;height:1.65pt;mso-position-horizontal-relative:page;mso-position-vertical-relative:paragraph;z-index:15750656" id="docshape5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433412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984pt;width:1.65pt;height:1.65pt;mso-position-horizontal-relative:page;mso-position-vertical-relative:paragraph;z-index:15751168" id="docshape55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Court of Appeals, Eighth </w:t>
      </w:r>
      <w:r>
        <w:rPr>
          <w:color w:val="6E6158"/>
        </w:rPr>
        <w:t>Circuit United States Court of Appeals, Ninth Circuit</w:t>
      </w:r>
    </w:p>
    <w:p>
      <w:pPr>
        <w:pStyle w:val="BodyText"/>
        <w:spacing w:line="422" w:lineRule="auto" w:before="6"/>
        <w:ind w:right="3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63547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758pt;width:1.65pt;height:1.65pt;mso-position-horizontal-relative:page;mso-position-vertical-relative:paragraph;z-index:15751680" id="docshape5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327080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4398pt;width:1.65pt;height:1.65pt;mso-position-horizontal-relative:page;mso-position-vertical-relative:paragraph;z-index:15752192" id="docshape57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585446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98141pt;width:1.65pt;height:1.65pt;mso-position-horizontal-relative:page;mso-position-vertical-relative:paragraph;z-index:15752704" id="docshape58" coordorigin="1675,922" coordsize="33,33" path="m1696,955l1687,955,1683,953,1676,947,1675,943,1675,934,1676,930,1683,924,1687,922,1696,922,1699,924,1706,930,1707,934,1707,938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843811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41887pt;width:1.65pt;height:1.65pt;mso-position-horizontal-relative:page;mso-position-vertical-relative:paragraph;z-index:15753216" id="docshape59" coordorigin="1675,1329" coordsize="33,33" path="m1696,1361l1687,1361,1683,1360,1676,1353,1675,1350,1675,1341,1676,1337,1683,1330,1687,1329,1696,1329,1699,1330,1706,1337,1707,1341,1707,1345,1707,1350,1706,1353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1102177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785629pt;width:1.65pt;height:1.65pt;mso-position-horizontal-relative:page;mso-position-vertical-relative:paragraph;z-index:15753728" id="docshape60" coordorigin="1675,1736" coordsize="33,33" path="m1696,1768l1687,1768,1683,1767,1676,1760,1675,1756,1675,1747,1676,1744,1683,1737,1687,1736,1696,1736,1699,1737,1706,1744,1707,1747,1707,1752,1707,1756,1706,1760,1699,1767,1696,17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Washington United States District Court, Eastern District of Washington United States District Court, Northern District of California</w:t>
      </w:r>
      <w:r>
        <w:rPr>
          <w:color w:val="6E6158"/>
          <w:spacing w:val="40"/>
        </w:rPr>
        <w:t> </w:t>
      </w:r>
      <w:r>
        <w:rPr>
          <w:color w:val="6E6158"/>
        </w:rPr>
        <w:t>United</w:t>
      </w:r>
      <w:r>
        <w:rPr>
          <w:color w:val="6E6158"/>
          <w:spacing w:val="40"/>
        </w:rPr>
        <w:t>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Court,</w:t>
      </w:r>
      <w:r>
        <w:rPr>
          <w:color w:val="6E6158"/>
          <w:spacing w:val="40"/>
        </w:rPr>
        <w:t>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 United States District Court for the Eastern District of </w:t>
      </w:r>
      <w:r>
        <w:rPr>
          <w:color w:val="6E6158"/>
        </w:rPr>
        <w:t>California</w:t>
      </w:r>
    </w:p>
    <w:p>
      <w:pPr>
        <w:pStyle w:val="BodyText"/>
        <w:spacing w:after="0" w:line="422" w:lineRule="auto"/>
        <w:sectPr>
          <w:headerReference w:type="default" r:id="rId11"/>
          <w:pgSz w:w="12240" w:h="15840"/>
          <w:pgMar w:header="383" w:footer="0" w:top="580" w:bottom="280" w:left="1440" w:right="1440"/>
        </w:sectPr>
      </w:pPr>
    </w:p>
    <w:p>
      <w:pPr>
        <w:pStyle w:val="BodyText"/>
        <w:spacing w:before="5"/>
      </w:pP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Western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Wisconsin</w:t>
      </w:r>
    </w:p>
    <w:sectPr>
      <w:pgSz w:w="12240" w:h="15840"/>
      <w:pgMar w:header="383" w:footer="0"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1063521</wp:posOffset>
              </wp:positionH>
              <wp:positionV relativeFrom="page">
                <wp:posOffset>438276</wp:posOffset>
              </wp:positionV>
              <wp:extent cx="20955" cy="20955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9"/>
                            </a:moveTo>
                            <a:lnTo>
                              <a:pt x="7480" y="20669"/>
                            </a:lnTo>
                            <a:lnTo>
                              <a:pt x="5044" y="19660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80"/>
                            </a:lnTo>
                            <a:lnTo>
                              <a:pt x="1008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60"/>
                            </a:lnTo>
                            <a:lnTo>
                              <a:pt x="13188" y="20669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50996pt;width:1.65pt;height:1.65pt;mso-position-horizontal-relative:page;mso-position-vertical-relative:page;z-index:-15826432" id="docshape32" coordorigin="1675,690" coordsize="33,33" path="m1696,723l1687,723,1683,721,1676,715,1675,711,1675,702,1676,698,1683,692,1687,690,1696,690,1699,692,1706,698,1707,702,1707,706,1707,711,1706,715,1699,721,1696,723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swilley@fennemorelaw.com" TargetMode="External"/><Relationship Id="rId11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2025-08-13T22:23:57Z</dcterms:created>
  <dcterms:modified xsi:type="dcterms:W3CDTF">2025-08-13T22:23:57Z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m117</vt:lpwstr>
  </property>
</Properties>
</file>