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06774" y="1369338"/>
                            <a:ext cx="18865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585" h="320675">
                                <a:moveTo>
                                  <a:pt x="188607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86077" y="320382"/>
                                </a:lnTo>
                                <a:lnTo>
                                  <a:pt x="1886077" y="315214"/>
                                </a:lnTo>
                                <a:close/>
                              </a:path>
                              <a:path w="1886585" h="320675">
                                <a:moveTo>
                                  <a:pt x="1886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86077" y="5168"/>
                                </a:lnTo>
                                <a:lnTo>
                                  <a:pt x="1886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08075" y="763308"/>
                            <a:ext cx="189611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THOMAS H.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FELL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1859626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37222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88044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20617" y="2226505"/>
                            <a:ext cx="12712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tfell@fennemorelaw.com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21;top:2716;width:2971;height:505" id="docshape5" coordorigin="7021,2716" coordsize="2971,505" path="m9991,3213l7021,3213,7021,3221,9991,3221,9991,3213xm9991,2716l7021,2716,7021,2725,9991,2725,999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23;top:1762;width:298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THOMAS H.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FELL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488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69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702.791.8224</w:t>
                        </w:r>
                      </w:p>
                    </w:txbxContent>
                  </v:textbox>
                  <w10:wrap type="none"/>
                </v:shape>
                <v:shape style="position:absolute;left:8723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702.791.8225</w:t>
                        </w:r>
                      </w:p>
                    </w:txbxContent>
                  </v:textbox>
                  <w10:wrap type="none"/>
                </v:shape>
                <v:shape style="position:absolute;left:7515;top:4066;width:200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tfell@fennemorelaw.com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THOMAS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H.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4"/>
          <w:sz w:val="24"/>
        </w:rPr>
        <w:t>FELL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Tom practices in the areas of business restructuring and bankruptcy, creditors’ rights, 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litigation, and landlord/tenant law. He is involved in all aspects of the firm’s complex insolvency</w:t>
      </w:r>
      <w:r>
        <w:rPr>
          <w:color w:val="6E6158"/>
          <w:spacing w:val="40"/>
        </w:rPr>
        <w:t> </w:t>
      </w:r>
      <w:r>
        <w:rPr>
          <w:color w:val="6E6158"/>
        </w:rPr>
        <w:t>practice,</w:t>
      </w:r>
      <w:r>
        <w:rPr>
          <w:color w:val="6E6158"/>
          <w:spacing w:val="39"/>
        </w:rPr>
        <w:t> </w:t>
      </w:r>
      <w:r>
        <w:rPr>
          <w:color w:val="6E6158"/>
        </w:rPr>
        <w:t>including</w:t>
      </w:r>
      <w:r>
        <w:rPr>
          <w:color w:val="6E6158"/>
          <w:spacing w:val="39"/>
        </w:rPr>
        <w:t> </w:t>
      </w:r>
      <w:r>
        <w:rPr>
          <w:color w:val="6E6158"/>
        </w:rPr>
        <w:t>representation</w:t>
      </w:r>
      <w:r>
        <w:rPr>
          <w:color w:val="6E6158"/>
          <w:spacing w:val="39"/>
        </w:rPr>
        <w:t> </w:t>
      </w:r>
      <w:r>
        <w:rPr>
          <w:color w:val="6E6158"/>
        </w:rPr>
        <w:t>of</w:t>
      </w:r>
      <w:r>
        <w:rPr>
          <w:color w:val="6E6158"/>
          <w:spacing w:val="39"/>
        </w:rPr>
        <w:t> </w:t>
      </w:r>
      <w:r>
        <w:rPr>
          <w:color w:val="6E6158"/>
        </w:rPr>
        <w:t>several</w:t>
      </w:r>
      <w:r>
        <w:rPr>
          <w:color w:val="6E6158"/>
          <w:spacing w:val="39"/>
        </w:rPr>
        <w:t> </w:t>
      </w:r>
      <w:r>
        <w:rPr>
          <w:color w:val="6E6158"/>
        </w:rPr>
        <w:t>major</w:t>
      </w:r>
      <w:r>
        <w:rPr>
          <w:color w:val="6E6158"/>
          <w:spacing w:val="39"/>
        </w:rPr>
        <w:t> </w:t>
      </w:r>
      <w:r>
        <w:rPr>
          <w:color w:val="6E6158"/>
        </w:rPr>
        <w:t>hotel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casino</w:t>
      </w:r>
      <w:r>
        <w:rPr>
          <w:color w:val="6E6158"/>
          <w:spacing w:val="39"/>
        </w:rPr>
        <w:t> </w:t>
      </w:r>
      <w:r>
        <w:rPr>
          <w:color w:val="6E6158"/>
        </w:rPr>
        <w:t>companies.</w:t>
      </w:r>
    </w:p>
    <w:p>
      <w:pPr>
        <w:pStyle w:val="BodyText"/>
        <w:spacing w:line="297" w:lineRule="auto" w:before="191"/>
        <w:ind w:left="104" w:right="350"/>
      </w:pPr>
      <w:r>
        <w:rPr>
          <w:color w:val="6E6158"/>
        </w:rPr>
        <w:t>His representation of debtors and creditors in non-gaming companies ranges from large multi–</w:t>
      </w:r>
      <w:r>
        <w:rPr>
          <w:color w:val="6E6158"/>
          <w:spacing w:val="40"/>
        </w:rPr>
        <w:t> </w:t>
      </w:r>
      <w:r>
        <w:rPr>
          <w:color w:val="6E6158"/>
        </w:rPr>
        <w:t>jurisdictional companies to single asset real estate developments including retail power </w:t>
      </w:r>
      <w:r>
        <w:rPr>
          <w:color w:val="6E6158"/>
        </w:rPr>
        <w:t>centers</w:t>
      </w:r>
      <w:r>
        <w:rPr>
          <w:color w:val="6E6158"/>
          <w:spacing w:val="40"/>
        </w:rPr>
        <w:t> </w:t>
      </w:r>
      <w:r>
        <w:rPr>
          <w:color w:val="6E6158"/>
        </w:rPr>
        <w:t>and office complexes.</w:t>
      </w:r>
    </w:p>
    <w:p>
      <w:pPr>
        <w:pStyle w:val="BodyText"/>
        <w:spacing w:before="192"/>
        <w:ind w:left="104"/>
      </w:pP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former</w:t>
      </w:r>
      <w:r>
        <w:rPr>
          <w:color w:val="6E6158"/>
          <w:spacing w:val="12"/>
        </w:rPr>
        <w:t> </w:t>
      </w:r>
      <w:r>
        <w:rPr>
          <w:color w:val="6E6158"/>
        </w:rPr>
        <w:t>professional</w:t>
      </w:r>
      <w:r>
        <w:rPr>
          <w:color w:val="6E6158"/>
          <w:spacing w:val="12"/>
        </w:rPr>
        <w:t> </w:t>
      </w:r>
      <w:r>
        <w:rPr>
          <w:color w:val="6E6158"/>
        </w:rPr>
        <w:t>photographer,</w:t>
      </w:r>
      <w:r>
        <w:rPr>
          <w:color w:val="6E6158"/>
          <w:spacing w:val="12"/>
        </w:rPr>
        <w:t> </w:t>
      </w:r>
      <w:r>
        <w:rPr>
          <w:color w:val="6E6158"/>
        </w:rPr>
        <w:t>Tom</w:t>
      </w:r>
      <w:r>
        <w:rPr>
          <w:color w:val="6E6158"/>
          <w:spacing w:val="12"/>
        </w:rPr>
        <w:t> </w:t>
      </w:r>
      <w:r>
        <w:rPr>
          <w:color w:val="6E6158"/>
        </w:rPr>
        <w:t>still</w:t>
      </w:r>
      <w:r>
        <w:rPr>
          <w:color w:val="6E6158"/>
          <w:spacing w:val="12"/>
        </w:rPr>
        <w:t> </w:t>
      </w:r>
      <w:r>
        <w:rPr>
          <w:color w:val="6E6158"/>
        </w:rPr>
        <w:t>enjoys</w:t>
      </w:r>
      <w:r>
        <w:rPr>
          <w:color w:val="6E6158"/>
          <w:spacing w:val="12"/>
        </w:rPr>
        <w:t> </w:t>
      </w:r>
      <w:r>
        <w:rPr>
          <w:color w:val="6E6158"/>
        </w:rPr>
        <w:t>photography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documenting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travels.</w:t>
      </w:r>
    </w:p>
    <w:p>
      <w:pPr>
        <w:pStyle w:val="Heading2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44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157687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304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416052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071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Drake University Law School, with </w:t>
      </w:r>
      <w:r>
        <w:rPr>
          <w:color w:val="6E6158"/>
        </w:rPr>
        <w:t>honors</w:t>
      </w:r>
      <w:r>
        <w:rPr>
          <w:color w:val="6E6158"/>
        </w:rPr>
        <w:t> B.A., Drake University</w:t>
      </w:r>
    </w:p>
    <w:p>
      <w:pPr>
        <w:spacing w:before="154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71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59446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0834pt;width:1.65pt;height:1.65pt;mso-position-horizontal-relative:page;mso-position-vertical-relative:paragraph;z-index:15730176" id="docshape13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322979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145pt;width:1.65pt;height:1.65pt;mso-position-horizontal-relative:page;mso-position-vertical-relative:paragraph;z-index:15730688" id="docshape14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 Litigation</w:t>
      </w:r>
    </w:p>
    <w:p>
      <w:pPr>
        <w:pStyle w:val="BodyText"/>
        <w:spacing w:line="420" w:lineRule="auto"/>
        <w:ind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63604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248pt;width:1.65pt;height:1.65pt;mso-position-horizontal-relative:page;mso-position-vertical-relative:paragraph;z-index:15731200" id="docshape1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321970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1992pt;width:1.65pt;height:1.65pt;mso-position-horizontal-relative:page;mso-position-vertical-relative:paragraph;z-index:15731712" id="docshape1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Litigation</w:t>
      </w:r>
    </w:p>
    <w:p>
      <w:pPr>
        <w:pStyle w:val="Heading2"/>
        <w:spacing w:before="166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16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338736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2131pt;width:1.65pt;height:1.65pt;mso-position-horizontal-relative:page;mso-position-vertical-relative:paragraph;z-index:15732224" id="docshape17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Led representation of a nationwide fleet management business through a successful </w:t>
      </w:r>
      <w:r>
        <w:rPr>
          <w:color w:val="6E6158"/>
        </w:rPr>
        <w:t>Chapter</w:t>
      </w:r>
      <w:r>
        <w:rPr>
          <w:color w:val="6E6158"/>
          <w:spacing w:val="40"/>
        </w:rPr>
        <w:t> </w:t>
      </w:r>
      <w:r>
        <w:rPr>
          <w:color w:val="6E6158"/>
        </w:rPr>
        <w:t>11 reorganization, which included restructuring of over $650 million in debt and resulted in the pre-petition equity holders retaining 100% of this privately held company.</w:t>
      </w:r>
    </w:p>
    <w:p>
      <w:pPr>
        <w:pStyle w:val="BodyText"/>
        <w:spacing w:line="292" w:lineRule="auto" w:before="132"/>
        <w:ind w:right="30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236215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657pt;width:1.65pt;height:1.65pt;mso-position-horizontal-relative:page;mso-position-vertical-relative:paragraph;z-index:15732736" id="docshape1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Led representation of statutory lienholders owed in excess of $300 million in Fontainbleau </w:t>
      </w:r>
      <w:r>
        <w:rPr>
          <w:color w:val="6E6158"/>
        </w:rPr>
        <w:t>Las Vegas’ bankruptcy proceedings in the United States Bankruptcy Court in Florida.</w:t>
      </w:r>
    </w:p>
    <w:p>
      <w:pPr>
        <w:pStyle w:val="BodyText"/>
        <w:spacing w:after="0" w:line="292" w:lineRule="auto"/>
        <w:jc w:val="both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right="1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33248" id="docshape19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both debtors and creditors in the restructuring of several major hotel and </w:t>
      </w:r>
      <w:r>
        <w:rPr>
          <w:color w:val="6E6158"/>
        </w:rPr>
        <w:t>casino companies, both Nevada based and multi-jurisdictional, as well as several gaming related or manufacturing companies.</w:t>
      </w:r>
    </w:p>
    <w:p>
      <w:pPr>
        <w:pStyle w:val="BodyText"/>
        <w:spacing w:line="292" w:lineRule="auto" w:before="118"/>
        <w:ind w:right="1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227702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302pt;width:1.65pt;height:1.65pt;mso-position-horizontal-relative:page;mso-position-vertical-relative:paragraph;z-index:15733760" id="docshape20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many types of lenders and investors in judicial and non-judicial proceedings </w:t>
      </w:r>
      <w:r>
        <w:rPr>
          <w:color w:val="6E6158"/>
        </w:rPr>
        <w:t>and bankruptcy cases to resolve claims or repossess and dispose of collateral.</w:t>
      </w:r>
    </w:p>
    <w:p>
      <w:pPr>
        <w:pStyle w:val="Heading2"/>
        <w:spacing w:before="16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168057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2885pt;width:1.65pt;height:1.65pt;mso-position-horizontal-relative:page;mso-position-vertical-relative:paragraph;z-index:15734272" id="docshape21" coordorigin="1675,265" coordsize="33,33" path="m1696,297l1687,297,1683,296,1676,289,1675,285,1675,276,1676,273,1683,266,1687,265,1696,265,1699,266,1706,273,1707,276,1707,281,1707,285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Bankruptcy,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2014,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2017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2019, </w:t>
      </w:r>
      <w:r>
        <w:rPr>
          <w:color w:val="6E6158"/>
          <w:spacing w:val="-4"/>
          <w:sz w:val="19"/>
        </w:rPr>
        <w:t>2026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184214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511pt;width:1.65pt;height:1.65pt;mso-position-horizontal-relative:page;mso-position-vertical-relative:paragraph;z-index:15734784" id="docshape22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Bet-the-Company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2014-2015,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2017-</w:t>
      </w:r>
      <w:r>
        <w:rPr>
          <w:color w:val="6E6158"/>
          <w:spacing w:val="-4"/>
          <w:sz w:val="19"/>
        </w:rPr>
        <w:t>2026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183949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4211pt;width:1.65pt;height:1.65pt;mso-position-horizontal-relative:page;mso-position-vertical-relative:paragraph;z-index:15735296" id="docshape23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Bankruptcy,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2026</w:t>
      </w:r>
    </w:p>
    <w:p>
      <w:pPr>
        <w:spacing w:line="288" w:lineRule="auto" w:before="165"/>
        <w:ind w:left="356" w:right="35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272076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23313pt;width:1.65pt;height:1.65pt;mso-position-horizontal-relative:page;mso-position-vertical-relative:paragraph;z-index:15735808" id="docshape24" coordorigin="1675,428" coordsize="33,33" path="m1696,461l1687,461,1683,459,1676,453,1675,449,1675,440,1676,436,1683,430,1687,428,1696,428,1699,430,1706,436,1707,440,1707,445,1707,449,1706,453,1699,459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Bankruptcy and Creditor/Debtor Rights, Insolvency </w:t>
      </w:r>
      <w:r>
        <w:rPr>
          <w:color w:val="6E6158"/>
          <w:sz w:val="19"/>
        </w:rPr>
        <w:t>and Reorganization Law, 2006-2026</w:t>
      </w:r>
    </w:p>
    <w:p>
      <w:pPr>
        <w:spacing w:before="12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156081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89893pt;width:1.65pt;height:1.65pt;mso-position-horizontal-relative:page;mso-position-vertical-relative:paragraph;z-index:15736320" id="docshape25" coordorigin="1675,246" coordsize="33,33" path="m1696,278l1687,278,1683,277,1676,270,1675,267,1675,258,1676,254,1683,247,1687,246,1696,246,1699,247,1706,254,1707,258,1707,262,1707,267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Mountain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States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pacing w:val="-2"/>
          <w:sz w:val="19"/>
        </w:rPr>
        <w:t>2007-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line="288" w:lineRule="auto" w:before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272235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35869pt;width:1.65pt;height:1.65pt;mso-position-horizontal-relative:page;mso-position-vertical-relative:paragraph;z-index:15736832" id="docshape26" coordorigin="1675,429" coordsize="33,33" path="m1696,461l1687,461,1683,460,1676,453,1675,449,1675,440,1676,437,1683,430,1687,429,1696,429,1699,430,1706,437,1707,440,1707,445,1707,449,1706,453,1699,460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</w:rPr>
        <w:t>Lawyer of the Year, Bankruptcy and Creditor Debtor Rights / Insolvency and Reorganization Law, 2016 &amp; 2018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145906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8698pt;width:1.65pt;height:1.65pt;mso-position-horizontal-relative:page;mso-position-vertical-relative:paragraph;z-index:15737344" id="docshape27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“Legal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Elite,”</w:t>
      </w:r>
      <w:r>
        <w:rPr>
          <w:color w:val="6E6158"/>
          <w:spacing w:val="-10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168550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707pt;width:1.65pt;height:1.65pt;mso-position-horizontal-relative:page;mso-position-vertical-relative:paragraph;z-index:15737856" id="docshape2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Clark</w:t>
      </w:r>
      <w:r>
        <w:rPr>
          <w:color w:val="6E6158"/>
          <w:spacing w:val="5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Pro</w:t>
      </w:r>
      <w:r>
        <w:rPr>
          <w:color w:val="6E6158"/>
          <w:spacing w:val="6"/>
        </w:rPr>
        <w:t> </w:t>
      </w:r>
      <w:r>
        <w:rPr>
          <w:color w:val="6E6158"/>
        </w:rPr>
        <w:t>Bono</w:t>
      </w:r>
      <w:r>
        <w:rPr>
          <w:color w:val="6E6158"/>
          <w:spacing w:val="5"/>
        </w:rPr>
        <w:t> </w:t>
      </w:r>
      <w:r>
        <w:rPr>
          <w:color w:val="6E6158"/>
        </w:rPr>
        <w:t>Attorney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5"/>
        </w:rPr>
        <w:t> </w:t>
      </w:r>
      <w:r>
        <w:rPr>
          <w:color w:val="6E6158"/>
        </w:rPr>
        <w:t>Year,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8" w:lineRule="auto" w:before="136"/>
        <w:ind w:left="356" w:right="35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245420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4467pt;width:1.65pt;height:1.65pt;mso-position-horizontal-relative:page;mso-position-vertical-relative:paragraph;z-index:15738368" id="docshape29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“Business Survival vs. Pandemic Destruction,”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April </w:t>
      </w:r>
      <w:r>
        <w:rPr>
          <w:color w:val="6E6158"/>
          <w:sz w:val="19"/>
        </w:rPr>
        <w:t>1, </w:t>
      </w:r>
      <w:r>
        <w:rPr>
          <w:color w:val="6E6158"/>
          <w:spacing w:val="-4"/>
          <w:sz w:val="19"/>
        </w:rPr>
        <w:t>2021</w:t>
      </w:r>
    </w:p>
    <w:p>
      <w:pPr>
        <w:spacing w:line="288" w:lineRule="auto" w:before="126"/>
        <w:ind w:left="356" w:right="35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239084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5583pt;width:1.65pt;height:1.65pt;mso-position-horizontal-relative:page;mso-position-vertical-relative:paragraph;z-index:15738880" id="docshape30" coordorigin="1675,377" coordsize="33,33" path="m1696,409l1687,409,1683,407,1676,401,1675,397,1675,388,1676,384,1683,378,1687,377,1696,377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“Landlord and tenant negotiations during COVID-19,” </w:t>
      </w:r>
      <w:r>
        <w:rPr>
          <w:i/>
          <w:color w:val="6E6158"/>
          <w:sz w:val="20"/>
        </w:rPr>
        <w:t>Las Vegas Business Press</w:t>
      </w:r>
      <w:r>
        <w:rPr>
          <w:color w:val="6E6158"/>
          <w:sz w:val="19"/>
        </w:rPr>
        <w:t>, August 18, 2020</w:t>
      </w:r>
    </w:p>
    <w:p>
      <w:pPr>
        <w:pStyle w:val="BodyText"/>
        <w:spacing w:line="302" w:lineRule="auto" w:before="128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239099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67pt;width:1.65pt;height:1.65pt;mso-position-horizontal-relative:page;mso-position-vertical-relative:paragraph;z-index:15739392" id="docshape31" coordorigin="1675,377" coordsize="33,33" path="m1696,409l1687,409,1683,407,1676,401,1675,397,1675,388,1676,384,1683,378,1687,377,1696,377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“‘They’re panicking’: Nevada assistance program to give renters some help </w:t>
      </w:r>
      <w:r>
        <w:rPr>
          <w:color w:val="6E6158"/>
        </w:rPr>
        <w:t>during</w:t>
      </w:r>
      <w:r>
        <w:rPr>
          <w:color w:val="6E6158"/>
          <w:spacing w:val="40"/>
        </w:rPr>
        <w:t> </w:t>
      </w:r>
      <w:r>
        <w:rPr>
          <w:color w:val="6E6158"/>
        </w:rPr>
        <w:t>COVID-19,” 3 News Las Vegas, July 20, 2020</w:t>
      </w:r>
    </w:p>
    <w:p>
      <w:pPr>
        <w:pStyle w:val="BodyText"/>
        <w:spacing w:line="292" w:lineRule="auto" w:before="113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224267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8842pt;width:1.65pt;height:1.65pt;mso-position-horizontal-relative:page;mso-position-vertical-relative:paragraph;z-index:15739904" id="docshape32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“More than 250K Nevadans could be at risk of eviction,” KTNV Las Vegas, July 11, </w:t>
      </w:r>
      <w:r>
        <w:rPr>
          <w:color w:val="6E6158"/>
          <w:spacing w:val="-4"/>
        </w:rPr>
        <w:t>2020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142950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5952pt;width:1.65pt;height:1.65pt;mso-position-horizontal-relative:page;mso-position-vertical-relative:paragraph;z-index:15740416" id="docshape3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3"/>
        </w:rPr>
        <w:t> </w:t>
      </w:r>
      <w:r>
        <w:rPr>
          <w:color w:val="6E6158"/>
        </w:rPr>
        <w:t>“Eviction</w:t>
      </w:r>
      <w:r>
        <w:rPr>
          <w:color w:val="6E6158"/>
          <w:spacing w:val="13"/>
        </w:rPr>
        <w:t> </w:t>
      </w:r>
      <w:r>
        <w:rPr>
          <w:color w:val="6E6158"/>
        </w:rPr>
        <w:t>moratorium</w:t>
      </w:r>
      <w:r>
        <w:rPr>
          <w:color w:val="6E6158"/>
          <w:spacing w:val="13"/>
        </w:rPr>
        <w:t> </w:t>
      </w:r>
      <w:r>
        <w:rPr>
          <w:color w:val="6E6158"/>
        </w:rPr>
        <w:t>set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expire,”</w:t>
      </w:r>
      <w:r>
        <w:rPr>
          <w:color w:val="6E6158"/>
          <w:spacing w:val="13"/>
        </w:rPr>
        <w:t> </w:t>
      </w:r>
      <w:r>
        <w:rPr>
          <w:color w:val="6E6158"/>
        </w:rPr>
        <w:t>KKOH-AM,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3"/>
        </w:rPr>
        <w:t> </w:t>
      </w:r>
      <w:r>
        <w:rPr>
          <w:color w:val="6E6158"/>
        </w:rPr>
        <w:t>24,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175285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99pt;width:1.65pt;height:1.65pt;mso-position-horizontal-relative:page;mso-position-vertical-relative:paragraph;z-index:15740928" id="docshape3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“Moratorium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Expire,”</w:t>
      </w:r>
      <w:r>
        <w:rPr>
          <w:color w:val="6E6158"/>
          <w:spacing w:val="10"/>
        </w:rPr>
        <w:t> </w:t>
      </w:r>
      <w:r>
        <w:rPr>
          <w:color w:val="6E6158"/>
        </w:rPr>
        <w:t>KLAS</w:t>
      </w:r>
      <w:r>
        <w:rPr>
          <w:color w:val="6E6158"/>
          <w:spacing w:val="10"/>
        </w:rPr>
        <w:t> </w:t>
      </w:r>
      <w:r>
        <w:rPr>
          <w:color w:val="6E6158"/>
        </w:rPr>
        <w:t>Good</w:t>
      </w:r>
      <w:r>
        <w:rPr>
          <w:color w:val="6E6158"/>
          <w:spacing w:val="9"/>
        </w:rPr>
        <w:t> </w:t>
      </w:r>
      <w:r>
        <w:rPr>
          <w:color w:val="6E6158"/>
        </w:rPr>
        <w:t>Day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0"/>
        </w:rPr>
        <w:t> </w:t>
      </w:r>
      <w:r>
        <w:rPr>
          <w:color w:val="6E6158"/>
        </w:rPr>
        <w:t>Vegas,</w:t>
      </w:r>
      <w:r>
        <w:rPr>
          <w:color w:val="6E6158"/>
          <w:spacing w:val="9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24,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170154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028pt;width:1.65pt;height:1.65pt;mso-position-horizontal-relative:page;mso-position-vertical-relative:paragraph;z-index:15741440" id="docshape3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4"/>
        </w:rPr>
        <w:t> </w:t>
      </w:r>
      <w:r>
        <w:rPr>
          <w:color w:val="6E6158"/>
        </w:rPr>
        <w:t>“Statewide</w:t>
      </w:r>
      <w:r>
        <w:rPr>
          <w:color w:val="6E6158"/>
          <w:spacing w:val="15"/>
        </w:rPr>
        <w:t> </w:t>
      </w:r>
      <w:r>
        <w:rPr>
          <w:color w:val="6E6158"/>
        </w:rPr>
        <w:t>eviction</w:t>
      </w:r>
      <w:r>
        <w:rPr>
          <w:color w:val="6E6158"/>
          <w:spacing w:val="14"/>
        </w:rPr>
        <w:t> </w:t>
      </w:r>
      <w:r>
        <w:rPr>
          <w:color w:val="6E6158"/>
        </w:rPr>
        <w:t>moratorium</w:t>
      </w:r>
      <w:r>
        <w:rPr>
          <w:color w:val="6E6158"/>
          <w:spacing w:val="15"/>
        </w:rPr>
        <w:t> </w:t>
      </w:r>
      <w:r>
        <w:rPr>
          <w:color w:val="6E6158"/>
        </w:rPr>
        <w:t>deadline</w:t>
      </w:r>
      <w:r>
        <w:rPr>
          <w:color w:val="6E6158"/>
          <w:spacing w:val="14"/>
        </w:rPr>
        <w:t> </w:t>
      </w:r>
      <w:r>
        <w:rPr>
          <w:color w:val="6E6158"/>
        </w:rPr>
        <w:t>approaches,”</w:t>
      </w:r>
      <w:r>
        <w:rPr>
          <w:color w:val="6E6158"/>
          <w:spacing w:val="15"/>
        </w:rPr>
        <w:t> </w:t>
      </w:r>
      <w:r>
        <w:rPr>
          <w:color w:val="6E6158"/>
        </w:rPr>
        <w:t>8</w:t>
      </w:r>
      <w:r>
        <w:rPr>
          <w:color w:val="6E6158"/>
          <w:spacing w:val="14"/>
        </w:rPr>
        <w:t> </w:t>
      </w:r>
      <w:r>
        <w:rPr>
          <w:color w:val="6E6158"/>
        </w:rPr>
        <w:t>News</w:t>
      </w:r>
      <w:r>
        <w:rPr>
          <w:color w:val="6E6158"/>
          <w:spacing w:val="15"/>
        </w:rPr>
        <w:t> </w:t>
      </w:r>
      <w:r>
        <w:rPr>
          <w:color w:val="6E6158"/>
        </w:rPr>
        <w:t>Now,</w:t>
      </w:r>
      <w:r>
        <w:rPr>
          <w:color w:val="6E6158"/>
          <w:spacing w:val="14"/>
        </w:rPr>
        <w:t> </w:t>
      </w:r>
      <w:r>
        <w:rPr>
          <w:color w:val="6E6158"/>
        </w:rPr>
        <w:t>June</w:t>
      </w:r>
      <w:r>
        <w:rPr>
          <w:color w:val="6E6158"/>
          <w:spacing w:val="15"/>
        </w:rPr>
        <w:t> </w:t>
      </w:r>
      <w:r>
        <w:rPr>
          <w:color w:val="6E6158"/>
        </w:rPr>
        <w:t>23,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74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263116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7834pt;width:1.65pt;height:1.65pt;mso-position-horizontal-relative:page;mso-position-vertical-relative:paragraph;z-index:15741952" id="docshape36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Specter of pent-up evictions, foreclosures haunt Nevada as moratorium set </w:t>
      </w:r>
      <w:r>
        <w:rPr>
          <w:color w:val="6E6158"/>
        </w:rPr>
        <w:t>to expire,” </w:t>
      </w:r>
      <w:r>
        <w:rPr>
          <w:i/>
          <w:color w:val="6E6158"/>
          <w:sz w:val="20"/>
        </w:rPr>
        <w:t>Reno Gazette Journal</w:t>
      </w:r>
      <w:r>
        <w:rPr>
          <w:color w:val="6E6158"/>
        </w:rPr>
        <w:t>, June 22, 2020</w:t>
      </w:r>
    </w:p>
    <w:p>
      <w:pPr>
        <w:pStyle w:val="BodyText"/>
        <w:spacing w:line="292" w:lineRule="auto" w:before="136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238723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7096pt;width:1.65pt;height:1.65pt;mso-position-horizontal-relative:page;mso-position-vertical-relative:paragraph;z-index:15742464" id="docshape37" coordorigin="1675,376" coordsize="33,33" path="m1696,408l1687,408,1683,407,1676,401,1675,397,1675,388,1676,384,1683,378,1687,376,1696,376,1699,378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“Clock ticking on eviction moratorium expiring in Nevada,” KTNV 13 News, June </w:t>
      </w:r>
      <w:r>
        <w:rPr>
          <w:color w:val="6E6158"/>
        </w:rPr>
        <w:t>22,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142801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207pt;width:1.65pt;height:1.65pt;mso-position-horizontal-relative:page;mso-position-vertical-relative:paragraph;z-index:15742976" id="docshape3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“Moratorium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Evictions,”</w:t>
      </w:r>
      <w:r>
        <w:rPr>
          <w:color w:val="6E6158"/>
          <w:spacing w:val="12"/>
        </w:rPr>
        <w:t> </w:t>
      </w:r>
      <w:r>
        <w:rPr>
          <w:color w:val="6E6158"/>
        </w:rPr>
        <w:t>KTVN</w:t>
      </w:r>
      <w:r>
        <w:rPr>
          <w:color w:val="6E6158"/>
          <w:spacing w:val="12"/>
        </w:rPr>
        <w:t> </w:t>
      </w:r>
      <w:r>
        <w:rPr>
          <w:color w:val="6E6158"/>
        </w:rPr>
        <w:t>2</w:t>
      </w:r>
      <w:r>
        <w:rPr>
          <w:color w:val="6E6158"/>
          <w:spacing w:val="12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19,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175136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245pt;width:1.65pt;height:1.65pt;mso-position-horizontal-relative:page;mso-position-vertical-relative:paragraph;z-index:15743488" id="docshape3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“Tenant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Defaults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Bankruptcies,”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27,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spacing w:line="288" w:lineRule="auto"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268097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05pt;width:1.65pt;height:1.65pt;mso-position-horizontal-relative:page;mso-position-vertical-relative:paragraph;z-index:15744000" id="docshape4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“Everything Must Go: Bankruptcies in Nevada,”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March </w:t>
      </w:r>
      <w:r>
        <w:rPr>
          <w:color w:val="6E6158"/>
          <w:sz w:val="19"/>
        </w:rPr>
        <w:t>1,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28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233734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04272pt;width:1.65pt;height:1.65pt;mso-position-horizontal-relative:page;mso-position-vertical-relative:paragraph;z-index:15744512" id="docshape41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“Selling and Insider’s Claim and Buying Plan Confirmation,” 2016 </w:t>
      </w:r>
      <w:r>
        <w:rPr>
          <w:color w:val="6E6158"/>
        </w:rPr>
        <w:t>Southwest Bankruptcy Conference, September 2016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5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45024" id="docshape4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416316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19pt;width:1.65pt;height:1.65pt;mso-position-horizontal-relative:page;mso-position-vertical-relative:paragraph;z-index:15745536" id="docshape4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674681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565pt;width:1.65pt;height:1.65pt;mso-position-horizontal-relative:page;mso-position-vertical-relative:paragraph;z-index:15746048" id="docshape44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 State Bar of Nevada</w:t>
      </w:r>
      <w:r>
        <w:rPr>
          <w:color w:val="6E6158"/>
          <w:spacing w:val="40"/>
        </w:rPr>
        <w:t> </w:t>
      </w:r>
      <w:r>
        <w:rPr>
          <w:color w:val="6E6158"/>
        </w:rPr>
        <w:t>Member, Clark County Bar </w:t>
      </w:r>
      <w:r>
        <w:rPr>
          <w:color w:val="6E6158"/>
        </w:rPr>
        <w:t>Association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63821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307pt;width:1.65pt;height:1.65pt;mso-position-horizontal-relative:page;mso-position-vertical-relative:paragraph;z-index:15746560" id="docshape45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175045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25pt;width:1.65pt;height:1.65pt;mso-position-horizontal-relative:page;mso-position-vertical-relative:paragraph;z-index:15747072" id="docshape4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Southern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line="427" w:lineRule="auto" w:before="174"/>
        <w:ind w:right="1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174995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168pt;width:1.65pt;height:1.65pt;mso-position-horizontal-relative:page;mso-position-vertical-relative:paragraph;z-index:15747584" id="docshape4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433361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917pt;width:1.65pt;height:1.65pt;mso-position-horizontal-relative:page;mso-position-vertical-relative:paragraph;z-index:15748096" id="docshape4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Legal Aid Center of Southern Nevada, Pro Bono Advisory </w:t>
      </w:r>
      <w:r>
        <w:rPr>
          <w:color w:val="6E6158"/>
        </w:rPr>
        <w:t>Council Member, Bankruptcy Pro Bono Committee</w:t>
      </w: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157525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569pt;width:1.65pt;height:1.65pt;mso-position-horizontal-relative:page;mso-position-vertical-relative:paragraph;z-index:15748608" id="docshape4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4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tfell@fennemorelaw.com" TargetMode="External"/><Relationship Id="rId11" Type="http://schemas.openxmlformats.org/officeDocument/2006/relationships/hyperlink" Target="https://www.fennemorelaw.com/insights/newsletters/2020/tenant-defaults-and-bankruptci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2025-08-25T20:48:13Z</dcterms:created>
  <dcterms:modified xsi:type="dcterms:W3CDTF">2025-08-25T20:48:13Z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