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364229"/>
                          <a:chExt cx="6066790" cy="3364229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30952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48113" y="1369338"/>
                            <a:ext cx="18034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0" h="320675">
                                <a:moveTo>
                                  <a:pt x="1803400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03400" y="320382"/>
                                </a:lnTo>
                                <a:lnTo>
                                  <a:pt x="1803400" y="315214"/>
                                </a:lnTo>
                                <a:close/>
                              </a:path>
                              <a:path w="1803400" h="320675">
                                <a:moveTo>
                                  <a:pt x="1803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03400" y="5168"/>
                                </a:lnTo>
                                <a:lnTo>
                                  <a:pt x="1803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WADE</w:t>
                              </w:r>
                              <w:r>
                                <w:rPr>
                                  <w:color w:val="FFFFFF"/>
                                  <w:spacing w:val="-23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BEAVERS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775.788.2283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Las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Vegas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88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775.788.2208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775.788.2283</w:t>
                              </w:r>
                            </w:p>
                            <w:p>
                              <w:pPr>
                                <w:spacing w:before="127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wbeavers@fennemorelaw.com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64.9pt;mso-position-horizontal-relative:char;mso-position-vertical-relative:line" id="docshapegroup1" coordorigin="0,0" coordsize="9554,5298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875" type="#_x0000_t75" id="docshape3" stroked="false">
                  <v:imagedata r:id="rId7" o:title=""/>
                </v:shape>
                <v:rect style="position:absolute;left:4776;top:423;width:4777;height:4875" id="docshape4" filled="true" fillcolor="#262424" stroked="false">
                  <v:fill type="solid"/>
                </v:rect>
                <v:shape style="position:absolute;left:5745;top:2156;width:2840;height:505" id="docshape5" coordorigin="5745,2156" coordsize="2840,505" path="m8585,2653l5745,2653,5745,2661,8585,2661,8585,2653xm8585,2156l5745,2156,5745,2165,8585,2165,8585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WADE</w:t>
                        </w:r>
                        <w:r>
                          <w:rPr>
                            <w:color w:val="FFFFFF"/>
                            <w:spacing w:val="-23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BEAVERS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  <w:p>
                        <w:pPr>
                          <w:tabs>
                            <w:tab w:pos="1588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775.788.2283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Las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Vegas</w:t>
                          </w:r>
                        </w:hyperlink>
                      </w:p>
                      <w:p>
                        <w:pPr>
                          <w:tabs>
                            <w:tab w:pos="1588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775.788.2208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775.788.2283</w:t>
                        </w:r>
                      </w:p>
                      <w:p>
                        <w:pPr>
                          <w:spacing w:before="127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wbeavers@fennemorelaw.com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71"/>
        <w:ind w:left="104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WADE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BEAVERS</w:t>
      </w:r>
    </w:p>
    <w:p>
      <w:pPr>
        <w:pStyle w:val="BodyText"/>
        <w:spacing w:line="295" w:lineRule="auto" w:before="146"/>
        <w:ind w:left="104" w:right="471"/>
      </w:pPr>
      <w:r>
        <w:rPr>
          <w:color w:val="6E6158"/>
        </w:rPr>
        <w:t>Wade Beavers advises and represents businesses in regulated industries, including utilities, commercial</w:t>
      </w:r>
      <w:r>
        <w:rPr>
          <w:color w:val="6E6158"/>
          <w:spacing w:val="17"/>
        </w:rPr>
        <w:t> </w:t>
      </w:r>
      <w:r>
        <w:rPr>
          <w:color w:val="6E6158"/>
        </w:rPr>
        <w:t>gaming</w:t>
      </w:r>
      <w:r>
        <w:rPr>
          <w:color w:val="6E6158"/>
          <w:spacing w:val="17"/>
        </w:rPr>
        <w:t> </w:t>
      </w:r>
      <w:r>
        <w:rPr>
          <w:color w:val="6E6158"/>
        </w:rPr>
        <w:t>operators,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financial</w:t>
      </w:r>
      <w:r>
        <w:rPr>
          <w:color w:val="6E6158"/>
          <w:spacing w:val="17"/>
        </w:rPr>
        <w:t> </w:t>
      </w:r>
      <w:r>
        <w:rPr>
          <w:color w:val="6E6158"/>
        </w:rPr>
        <w:t>service</w:t>
      </w:r>
      <w:r>
        <w:rPr>
          <w:color w:val="6E6158"/>
          <w:spacing w:val="17"/>
        </w:rPr>
        <w:t> </w:t>
      </w:r>
      <w:r>
        <w:rPr>
          <w:color w:val="6E6158"/>
        </w:rPr>
        <w:t>providers,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well</w:t>
      </w:r>
      <w:r>
        <w:rPr>
          <w:color w:val="6E6158"/>
          <w:spacing w:val="17"/>
        </w:rPr>
        <w:t> </w:t>
      </w:r>
      <w:r>
        <w:rPr>
          <w:color w:val="6E6158"/>
        </w:rPr>
        <w:t>as</w:t>
      </w:r>
      <w:r>
        <w:rPr>
          <w:color w:val="6E6158"/>
          <w:spacing w:val="17"/>
        </w:rPr>
        <w:t> </w:t>
      </w:r>
      <w:r>
        <w:rPr>
          <w:color w:val="6E6158"/>
        </w:rPr>
        <w:t>related</w:t>
      </w:r>
      <w:r>
        <w:rPr>
          <w:color w:val="6E6158"/>
          <w:spacing w:val="17"/>
        </w:rPr>
        <w:t> </w:t>
      </w:r>
      <w:r>
        <w:rPr>
          <w:color w:val="6E6158"/>
        </w:rPr>
        <w:t>stakeholders,</w:t>
      </w:r>
      <w:r>
        <w:rPr>
          <w:color w:val="6E6158"/>
          <w:spacing w:val="17"/>
        </w:rPr>
        <w:t> </w:t>
      </w:r>
      <w:r>
        <w:rPr>
          <w:color w:val="6E6158"/>
        </w:rPr>
        <w:t>in a wide range of matters, with focus on Nevada state and local licensing and regulatory</w:t>
      </w:r>
      <w:r>
        <w:rPr>
          <w:color w:val="6E6158"/>
          <w:spacing w:val="40"/>
        </w:rPr>
        <w:t> </w:t>
      </w:r>
      <w:r>
        <w:rPr>
          <w:color w:val="6E6158"/>
        </w:rPr>
        <w:t>compliance issues.</w:t>
      </w:r>
      <w:r>
        <w:rPr>
          <w:color w:val="6E6158"/>
          <w:spacing w:val="80"/>
        </w:rPr>
        <w:t> </w:t>
      </w:r>
      <w:r>
        <w:rPr>
          <w:color w:val="6E6158"/>
        </w:rPr>
        <w:t>He has extensive experience representing clients in significant proceedings 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Public</w:t>
      </w:r>
      <w:r>
        <w:rPr>
          <w:color w:val="6E6158"/>
          <w:spacing w:val="31"/>
        </w:rPr>
        <w:t> </w:t>
      </w:r>
      <w:r>
        <w:rPr>
          <w:color w:val="6E6158"/>
        </w:rPr>
        <w:t>Utilities</w:t>
      </w:r>
      <w:r>
        <w:rPr>
          <w:color w:val="6E6158"/>
          <w:spacing w:val="31"/>
        </w:rPr>
        <w:t> </w:t>
      </w:r>
      <w:r>
        <w:rPr>
          <w:color w:val="6E6158"/>
        </w:rPr>
        <w:t>Commission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Nevada,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Nevada</w:t>
      </w:r>
      <w:r>
        <w:rPr>
          <w:color w:val="6E6158"/>
          <w:spacing w:val="31"/>
        </w:rPr>
        <w:t> </w:t>
      </w:r>
      <w:r>
        <w:rPr>
          <w:color w:val="6E6158"/>
        </w:rPr>
        <w:t>Gaming</w:t>
      </w:r>
      <w:r>
        <w:rPr>
          <w:color w:val="6E6158"/>
          <w:spacing w:val="31"/>
        </w:rPr>
        <w:t> </w:t>
      </w:r>
      <w:r>
        <w:rPr>
          <w:color w:val="6E6158"/>
        </w:rPr>
        <w:t>Control</w:t>
      </w:r>
      <w:r>
        <w:rPr>
          <w:color w:val="6E6158"/>
          <w:spacing w:val="31"/>
        </w:rPr>
        <w:t> </w:t>
      </w:r>
      <w:r>
        <w:rPr>
          <w:color w:val="6E6158"/>
        </w:rPr>
        <w:t>Board,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</w:p>
    <w:p>
      <w:pPr>
        <w:pStyle w:val="BodyText"/>
        <w:spacing w:line="297" w:lineRule="auto"/>
        <w:ind w:left="104" w:right="862"/>
        <w:jc w:val="both"/>
      </w:pPr>
      <w:r>
        <w:rPr>
          <w:color w:val="6E6158"/>
        </w:rPr>
        <w:t>Nevada Financial Institutions Division, the Nevada Department of Taxation, and various </w:t>
      </w:r>
      <w:r>
        <w:rPr>
          <w:color w:val="6E6158"/>
        </w:rPr>
        <w:t>other local, state, and federal regulatory bodies, and has assisted companies of all sizes, as well as individuals,</w:t>
      </w:r>
      <w:r>
        <w:rPr>
          <w:color w:val="6E6158"/>
          <w:spacing w:val="40"/>
        </w:rPr>
        <w:t> </w:t>
      </w:r>
      <w:r>
        <w:rPr>
          <w:color w:val="6E6158"/>
        </w:rPr>
        <w:t>in</w:t>
      </w:r>
      <w:r>
        <w:rPr>
          <w:color w:val="6E6158"/>
          <w:spacing w:val="40"/>
        </w:rPr>
        <w:t> </w:t>
      </w:r>
      <w:r>
        <w:rPr>
          <w:color w:val="6E6158"/>
        </w:rPr>
        <w:t>navigating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privileged</w:t>
      </w:r>
      <w:r>
        <w:rPr>
          <w:color w:val="6E6158"/>
          <w:spacing w:val="40"/>
        </w:rPr>
        <w:t> </w:t>
      </w:r>
      <w:r>
        <w:rPr>
          <w:color w:val="6E6158"/>
        </w:rPr>
        <w:t>licenses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approval</w:t>
      </w:r>
    </w:p>
    <w:p>
      <w:pPr>
        <w:pStyle w:val="BodyText"/>
        <w:spacing w:line="229" w:lineRule="exact"/>
        <w:ind w:left="104"/>
      </w:pPr>
      <w:r>
        <w:rPr>
          <w:color w:val="6E6158"/>
          <w:spacing w:val="-2"/>
        </w:rPr>
        <w:t>components.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left="104" w:right="471"/>
      </w:pPr>
      <w:r>
        <w:rPr>
          <w:color w:val="6E6158"/>
        </w:rPr>
        <w:t>Wade has specialized expertise in consumer financial services, with years of experience representing</w:t>
      </w:r>
      <w:r>
        <w:rPr>
          <w:color w:val="6E6158"/>
          <w:spacing w:val="13"/>
        </w:rPr>
        <w:t> </w:t>
      </w:r>
      <w:r>
        <w:rPr>
          <w:color w:val="6E6158"/>
        </w:rPr>
        <w:t>financial</w:t>
      </w:r>
      <w:r>
        <w:rPr>
          <w:color w:val="6E6158"/>
          <w:spacing w:val="13"/>
        </w:rPr>
        <w:t> </w:t>
      </w:r>
      <w:r>
        <w:rPr>
          <w:color w:val="6E6158"/>
        </w:rPr>
        <w:t>institutions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debt</w:t>
      </w:r>
      <w:r>
        <w:rPr>
          <w:color w:val="6E6158"/>
          <w:spacing w:val="13"/>
        </w:rPr>
        <w:t> </w:t>
      </w:r>
      <w:r>
        <w:rPr>
          <w:color w:val="6E6158"/>
        </w:rPr>
        <w:t>collectors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compliance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</w:rPr>
        <w:t>well</w:t>
      </w:r>
      <w:r>
        <w:rPr>
          <w:color w:val="6E6158"/>
          <w:spacing w:val="13"/>
        </w:rPr>
        <w:t> </w:t>
      </w:r>
      <w:r>
        <w:rPr>
          <w:color w:val="6E6158"/>
        </w:rPr>
        <w:t>as</w:t>
      </w:r>
      <w:r>
        <w:rPr>
          <w:color w:val="6E6158"/>
          <w:spacing w:val="13"/>
        </w:rPr>
        <w:t> </w:t>
      </w:r>
      <w:r>
        <w:rPr>
          <w:color w:val="6E6158"/>
          <w:spacing w:val="-5"/>
        </w:rPr>
        <w:t>in</w:t>
      </w:r>
    </w:p>
    <w:p>
      <w:pPr>
        <w:pStyle w:val="BodyText"/>
        <w:spacing w:line="295" w:lineRule="auto"/>
        <w:ind w:left="104" w:right="471"/>
      </w:pPr>
      <w:r>
        <w:rPr>
          <w:color w:val="6E6158"/>
        </w:rPr>
        <w:t>litigation, including class and individual consumer actions.</w:t>
      </w:r>
      <w:r>
        <w:rPr>
          <w:color w:val="6E6158"/>
          <w:spacing w:val="80"/>
        </w:rPr>
        <w:t> </w:t>
      </w:r>
      <w:r>
        <w:rPr>
          <w:color w:val="6E6158"/>
        </w:rPr>
        <w:t>In addition to his regulatory expertise,</w:t>
      </w:r>
      <w:r>
        <w:rPr>
          <w:color w:val="6E6158"/>
          <w:spacing w:val="40"/>
        </w:rPr>
        <w:t> </w:t>
      </w:r>
      <w:r>
        <w:rPr>
          <w:color w:val="6E6158"/>
        </w:rPr>
        <w:t>Wade</w:t>
      </w:r>
      <w:r>
        <w:rPr>
          <w:color w:val="6E6158"/>
          <w:spacing w:val="24"/>
        </w:rPr>
        <w:t> </w:t>
      </w:r>
      <w:r>
        <w:rPr>
          <w:color w:val="6E6158"/>
        </w:rPr>
        <w:t>has</w:t>
      </w:r>
      <w:r>
        <w:rPr>
          <w:color w:val="6E6158"/>
          <w:spacing w:val="24"/>
        </w:rPr>
        <w:t> </w:t>
      </w:r>
      <w:r>
        <w:rPr>
          <w:color w:val="6E6158"/>
        </w:rPr>
        <w:t>over</w:t>
      </w:r>
      <w:r>
        <w:rPr>
          <w:color w:val="6E6158"/>
          <w:spacing w:val="24"/>
        </w:rPr>
        <w:t> </w:t>
      </w:r>
      <w:r>
        <w:rPr>
          <w:color w:val="6E6158"/>
        </w:rPr>
        <w:t>a</w:t>
      </w:r>
      <w:r>
        <w:rPr>
          <w:color w:val="6E6158"/>
          <w:spacing w:val="24"/>
        </w:rPr>
        <w:t> </w:t>
      </w:r>
      <w:r>
        <w:rPr>
          <w:color w:val="6E6158"/>
        </w:rPr>
        <w:t>decade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experience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complex</w:t>
      </w:r>
      <w:r>
        <w:rPr>
          <w:color w:val="6E6158"/>
          <w:spacing w:val="24"/>
        </w:rPr>
        <w:t> </w:t>
      </w:r>
      <w:r>
        <w:rPr>
          <w:color w:val="6E6158"/>
        </w:rPr>
        <w:t>litigation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state</w:t>
      </w:r>
      <w:r>
        <w:rPr>
          <w:color w:val="6E6158"/>
          <w:spacing w:val="24"/>
        </w:rPr>
        <w:t> </w:t>
      </w:r>
      <w:r>
        <w:rPr>
          <w:color w:val="6E6158"/>
        </w:rPr>
        <w:t>and</w:t>
      </w:r>
      <w:r>
        <w:rPr>
          <w:color w:val="6E6158"/>
          <w:spacing w:val="24"/>
        </w:rPr>
        <w:t> </w:t>
      </w:r>
      <w:r>
        <w:rPr>
          <w:color w:val="6E6158"/>
        </w:rPr>
        <w:t>federal</w:t>
      </w:r>
      <w:r>
        <w:rPr>
          <w:color w:val="6E6158"/>
          <w:spacing w:val="24"/>
        </w:rPr>
        <w:t> </w:t>
      </w:r>
      <w:r>
        <w:rPr>
          <w:color w:val="6E6158"/>
        </w:rPr>
        <w:t>courts</w:t>
      </w:r>
      <w:r>
        <w:rPr>
          <w:color w:val="6E6158"/>
          <w:spacing w:val="24"/>
        </w:rPr>
        <w:t> </w:t>
      </w:r>
      <w:r>
        <w:rPr>
          <w:color w:val="6E6158"/>
        </w:rPr>
        <w:t>across the country in a broad range of matters, including significant corporate governance and</w:t>
      </w:r>
      <w:r>
        <w:rPr>
          <w:color w:val="6E6158"/>
          <w:spacing w:val="40"/>
        </w:rPr>
        <w:t> </w:t>
      </w:r>
      <w:r>
        <w:rPr>
          <w:color w:val="6E6158"/>
        </w:rPr>
        <w:t>intellectual property disputes, construction and mechanics’ lien litigation, mining and water law</w:t>
      </w:r>
      <w:r>
        <w:rPr>
          <w:color w:val="6E6158"/>
          <w:spacing w:val="40"/>
        </w:rPr>
        <w:t> </w:t>
      </w:r>
      <w:r>
        <w:rPr>
          <w:color w:val="6E6158"/>
        </w:rPr>
        <w:t>disputes,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significant</w:t>
      </w:r>
      <w:r>
        <w:rPr>
          <w:color w:val="6E6158"/>
          <w:spacing w:val="31"/>
        </w:rPr>
        <w:t> </w:t>
      </w:r>
      <w:r>
        <w:rPr>
          <w:color w:val="6E6158"/>
        </w:rPr>
        <w:t>trust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estate</w:t>
      </w:r>
      <w:r>
        <w:rPr>
          <w:color w:val="6E6158"/>
          <w:spacing w:val="31"/>
        </w:rPr>
        <w:t> </w:t>
      </w:r>
      <w:r>
        <w:rPr>
          <w:color w:val="6E6158"/>
        </w:rPr>
        <w:t>litigation,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has</w:t>
      </w:r>
      <w:r>
        <w:rPr>
          <w:color w:val="6E6158"/>
          <w:spacing w:val="31"/>
        </w:rPr>
        <w:t> </w:t>
      </w:r>
      <w:r>
        <w:rPr>
          <w:color w:val="6E6158"/>
        </w:rPr>
        <w:t>defended</w:t>
      </w:r>
      <w:r>
        <w:rPr>
          <w:color w:val="6E6158"/>
          <w:spacing w:val="31"/>
        </w:rPr>
        <w:t> </w:t>
      </w:r>
      <w:r>
        <w:rPr>
          <w:color w:val="6E6158"/>
        </w:rPr>
        <w:t>large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small corporations in numerous employment lawsuits and other legal proceedings relating to general</w:t>
      </w:r>
      <w:r>
        <w:rPr>
          <w:color w:val="6E6158"/>
          <w:spacing w:val="40"/>
        </w:rPr>
        <w:t> </w:t>
      </w:r>
      <w:r>
        <w:rPr>
          <w:color w:val="6E6158"/>
        </w:rPr>
        <w:t>commercial liability.</w:t>
      </w:r>
      <w:r>
        <w:rPr>
          <w:color w:val="6E6158"/>
          <w:spacing w:val="79"/>
        </w:rPr>
        <w:t> </w:t>
      </w:r>
      <w:r>
        <w:rPr>
          <w:color w:val="6E6158"/>
        </w:rPr>
        <w:t>Wade relies on his background as a litigator in advocating for his regulated- industry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agency</w:t>
      </w:r>
      <w:r>
        <w:rPr>
          <w:color w:val="6E6158"/>
          <w:spacing w:val="27"/>
        </w:rPr>
        <w:t> </w:t>
      </w:r>
      <w:r>
        <w:rPr>
          <w:color w:val="6E6158"/>
        </w:rPr>
        <w:t>disputes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judicial</w:t>
      </w:r>
      <w:r>
        <w:rPr>
          <w:color w:val="6E6158"/>
          <w:spacing w:val="27"/>
        </w:rPr>
        <w:t> </w:t>
      </w:r>
      <w:r>
        <w:rPr>
          <w:color w:val="6E6158"/>
        </w:rPr>
        <w:t>review</w:t>
      </w:r>
      <w:r>
        <w:rPr>
          <w:color w:val="6E6158"/>
          <w:spacing w:val="27"/>
        </w:rPr>
        <w:t> </w:t>
      </w:r>
      <w:r>
        <w:rPr>
          <w:color w:val="6E6158"/>
        </w:rPr>
        <w:t>matters,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representing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7"/>
        </w:rPr>
        <w:t> </w:t>
      </w:r>
      <w:r>
        <w:rPr>
          <w:color w:val="6E6158"/>
        </w:rPr>
        <w:t>clients</w:t>
      </w:r>
      <w:r>
        <w:rPr>
          <w:color w:val="6E6158"/>
          <w:spacing w:val="27"/>
        </w:rPr>
        <w:t> </w:t>
      </w:r>
      <w:r>
        <w:rPr>
          <w:color w:val="6E6158"/>
        </w:rPr>
        <w:t>in rule-making proceedings.</w:t>
      </w:r>
    </w:p>
    <w:p>
      <w:pPr>
        <w:pStyle w:val="BodyText"/>
        <w:spacing w:line="295" w:lineRule="auto" w:before="187"/>
        <w:ind w:left="104" w:right="595"/>
      </w:pPr>
      <w:r>
        <w:rPr>
          <w:color w:val="6E6158"/>
        </w:rPr>
        <w:t>Prior to joining Fennemore, Wade served as a Deputy Attorney General in the Nevada Attorney</w:t>
      </w:r>
      <w:r>
        <w:rPr>
          <w:color w:val="6E6158"/>
          <w:spacing w:val="40"/>
        </w:rPr>
        <w:t> </w:t>
      </w:r>
      <w:r>
        <w:rPr>
          <w:color w:val="6E6158"/>
        </w:rPr>
        <w:t>General’s Bureau of consumer protection, where he prosecuted antitrust and consumer</w:t>
      </w:r>
      <w:r>
        <w:rPr>
          <w:color w:val="6E6158"/>
          <w:spacing w:val="40"/>
        </w:rPr>
        <w:t> </w:t>
      </w:r>
      <w:r>
        <w:rPr>
          <w:color w:val="6E6158"/>
        </w:rPr>
        <w:t>protection matters and represented the interests of the consumers of the State of Nevada in</w:t>
      </w:r>
      <w:r>
        <w:rPr>
          <w:color w:val="6E6158"/>
          <w:spacing w:val="40"/>
        </w:rPr>
        <w:t> </w:t>
      </w:r>
      <w:r>
        <w:rPr>
          <w:color w:val="6E6158"/>
        </w:rPr>
        <w:t>utilities matters.</w:t>
      </w:r>
    </w:p>
    <w:p>
      <w:pPr>
        <w:pStyle w:val="Heading2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420" w:lineRule="auto" w:before="155"/>
        <w:ind w:right="28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158092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48266pt;width:1.65pt;height:1.65pt;mso-position-horizontal-relative:page;mso-position-vertical-relative:paragraph;z-index:15729152" id="docshape7" coordorigin="1675,249" coordsize="33,33" path="m1696,282l1687,282,1683,280,1676,274,1675,270,1675,261,1676,257,1683,251,1687,249,1696,249,1699,251,1706,257,1707,261,1707,265,1707,270,1706,274,1699,280,1696,28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416458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92007pt;width:1.65pt;height:1.65pt;mso-position-horizontal-relative:page;mso-position-vertical-relative:paragraph;z-index:15729664" id="docshape8" coordorigin="1675,656" coordsize="33,33" path="m1696,688l1687,688,1683,687,1676,680,1675,677,1675,668,1676,664,1683,657,1687,656,1696,656,1699,657,1706,664,1707,668,1707,672,1707,677,1706,680,1699,687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Nevada, Las Vegas, William S. Boyd School of </w:t>
      </w:r>
      <w:r>
        <w:rPr>
          <w:color w:val="6E6158"/>
        </w:rPr>
        <w:t>Law</w:t>
      </w:r>
      <w:r>
        <w:rPr>
          <w:color w:val="6E6158"/>
        </w:rPr>
        <w:t> B.A., University of Arizona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88"/>
        <w:ind w:left="104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ind w:left="0"/>
        <w:rPr>
          <w:b/>
        </w:r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59400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677222pt;width:1.65pt;height:1.65pt;mso-position-horizontal-relative:page;mso-position-vertical-relative:paragraph;z-index:15730176" id="docshape9" coordorigin="1675,94" coordsize="33,33" path="m1696,126l1687,126,1683,125,1676,118,1675,114,1675,105,1676,101,1683,95,1687,94,1696,94,1699,95,1706,101,1707,105,1707,110,1707,114,1706,118,1699,125,1696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right="70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175007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780142pt;width:1.65pt;height:1.65pt;mso-position-horizontal-relative:page;mso-position-vertical-relative:paragraph;z-index:15730688" id="docshape10" coordorigin="1675,276" coordsize="33,33" path="m1696,308l1687,308,1683,307,1676,300,1675,296,1675,287,1676,284,1683,277,1687,276,1696,276,1699,277,1706,284,1707,287,1707,292,1707,296,1706,300,1699,307,1696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433373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23890pt;width:1.65pt;height:1.65pt;mso-position-horizontal-relative:page;mso-position-vertical-relative:paragraph;z-index:15731200" id="docshape11" coordorigin="1675,682" coordsize="33,33" path="m1696,715l1687,715,1683,713,1676,707,1675,703,1675,694,1676,690,1683,684,1687,682,1696,682,1699,684,1706,690,1707,694,1707,699,1707,703,1706,707,1699,713,1696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691739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4.46764pt;width:1.65pt;height:1.65pt;mso-position-horizontal-relative:page;mso-position-vertical-relative:paragraph;z-index:15731712" id="docshape12" coordorigin="1675,1089" coordsize="33,33" path="m1696,1122l1687,1122,1683,1120,1676,1114,1675,1110,1675,1101,1676,1097,1683,1091,1687,1089,1696,1089,1699,1091,1706,1097,1707,1101,1707,1106,1707,1110,1706,1114,1699,1120,1696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Business Litigation Gaming &amp; </w:t>
      </w:r>
      <w:r>
        <w:rPr>
          <w:color w:val="6E6158"/>
        </w:rPr>
        <w:t>Hospitality</w:t>
      </w:r>
    </w:p>
    <w:p>
      <w:pPr>
        <w:pStyle w:val="Heading2"/>
        <w:spacing w:before="167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9"/>
        <w:ind w:left="356" w:right="92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255832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144295pt;width:1.65pt;height:1.65pt;mso-position-horizontal-relative:page;mso-position-vertical-relative:paragraph;z-index:15732224" id="docshape13" coordorigin="1675,403" coordsize="33,33" path="m1696,435l1687,435,1683,434,1676,427,1675,424,1675,415,1676,411,1683,404,1687,403,1696,403,1699,404,1706,411,1707,415,1707,419,1707,424,1706,427,1699,434,1696,4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Commercial Litigation, Litigation-</w:t>
      </w:r>
      <w:r>
        <w:rPr>
          <w:color w:val="6E6158"/>
          <w:sz w:val="19"/>
        </w:rPr>
        <w:t>Construction, Litigation-Real Estate, 2022-2026</w:t>
      </w:r>
    </w:p>
    <w:p>
      <w:pPr>
        <w:spacing w:line="417" w:lineRule="auto" w:before="128"/>
        <w:ind w:left="356" w:right="3689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146013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497127pt;width:1.65pt;height:1.65pt;mso-position-horizontal-relative:page;mso-position-vertical-relative:paragraph;z-index:15732736" id="docshape14" coordorigin="1675,230" coordsize="33,33" path="m1696,262l1687,262,1683,261,1676,255,1675,251,1675,242,1676,238,1683,232,1687,230,1696,230,1699,232,1706,238,1707,242,1707,246,1707,251,1706,255,1699,261,1696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404379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840876pt;width:1.65pt;height:1.65pt;mso-position-horizontal-relative:page;mso-position-vertical-relative:paragraph;z-index:15733248" id="docshape15" coordorigin="1675,637" coordsize="33,33" path="m1696,669l1687,669,1683,668,1676,661,1675,658,1675,649,1676,645,1683,638,1687,637,1696,637,1699,638,1706,645,1707,649,1707,653,1707,658,1706,661,1699,668,1696,66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2025 Top Rank Attorney List, Nevada Business </w:t>
      </w:r>
      <w:r>
        <w:rPr>
          <w:color w:val="6E6158"/>
          <w:sz w:val="19"/>
        </w:rPr>
        <w:t>Magazine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2019-2022</w:t>
      </w:r>
    </w:p>
    <w:p>
      <w:pPr>
        <w:spacing w:line="258" w:lineRule="exact" w:before="0"/>
        <w:ind w:left="356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63470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997676pt;width:1.65pt;height:1.65pt;mso-position-horizontal-relative:page;mso-position-vertical-relative:paragraph;z-index:15733760" id="docshape16" coordorigin="1675,100" coordsize="33,33" path="m1696,133l1687,133,1683,131,1676,125,1675,121,1675,112,1676,108,1683,102,1687,100,1696,100,1699,102,1706,108,1707,112,1707,116,1707,121,1706,125,1699,131,1696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12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2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10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9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BodyText"/>
        <w:spacing w:before="39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6"/>
        <w:ind w:right="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245528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32914pt;width:1.65pt;height:1.65pt;mso-position-horizontal-relative:page;mso-position-vertical-relative:paragraph;z-index:15734272" id="docshape17" coordorigin="1675,387" coordsize="33,33" path="m1696,419l1687,419,1683,418,1676,411,1675,407,1675,398,1676,395,1683,388,1687,387,1696,387,1699,388,1706,395,1707,398,1707,403,1707,407,1706,411,1699,418,1696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“Disability Accommodations in Post-Pandemic Work-from-Home World,” HR </w:t>
      </w:r>
      <w:r>
        <w:rPr>
          <w:color w:val="6E6158"/>
        </w:rPr>
        <w:t>Daily Advisor, June 14, 2022</w:t>
      </w:r>
    </w:p>
    <w:p>
      <w:pPr>
        <w:pStyle w:val="BodyText"/>
        <w:spacing w:before="1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143256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80013pt;width:1.65pt;height:1.65pt;mso-position-horizontal-relative:page;mso-position-vertical-relative:paragraph;z-index:15734784" id="docshape18" coordorigin="1675,226" coordsize="33,33" path="m1696,258l1687,258,1683,257,1676,250,1675,246,1675,237,1676,234,1683,227,1687,226,1696,226,1699,227,1706,234,1707,237,1707,242,1707,246,1706,250,1699,257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7"/>
        </w:rPr>
        <w:t> </w:t>
      </w:r>
      <w:r>
        <w:rPr>
          <w:color w:val="6E6158"/>
        </w:rPr>
        <w:t>“5</w:t>
      </w:r>
      <w:r>
        <w:rPr>
          <w:color w:val="6E6158"/>
          <w:spacing w:val="8"/>
        </w:rPr>
        <w:t> </w:t>
      </w:r>
      <w:r>
        <w:rPr>
          <w:color w:val="6E6158"/>
        </w:rPr>
        <w:t>keys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accommodating</w:t>
      </w:r>
      <w:r>
        <w:rPr>
          <w:color w:val="6E6158"/>
          <w:spacing w:val="7"/>
        </w:rPr>
        <w:t> </w:t>
      </w:r>
      <w:r>
        <w:rPr>
          <w:color w:val="6E6158"/>
        </w:rPr>
        <w:t>remote</w:t>
      </w:r>
      <w:r>
        <w:rPr>
          <w:color w:val="6E6158"/>
          <w:spacing w:val="8"/>
        </w:rPr>
        <w:t> </w:t>
      </w:r>
      <w:r>
        <w:rPr>
          <w:color w:val="6E6158"/>
        </w:rPr>
        <w:t>workers’</w:t>
      </w:r>
      <w:r>
        <w:rPr>
          <w:color w:val="6E6158"/>
          <w:spacing w:val="7"/>
        </w:rPr>
        <w:t> </w:t>
      </w:r>
      <w:r>
        <w:rPr>
          <w:color w:val="6E6158"/>
        </w:rPr>
        <w:t>disabilities,”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HR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Laws,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12,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spacing w:line="278" w:lineRule="auto" w:before="161"/>
        <w:ind w:left="356" w:right="47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261452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0.586781pt;width:1.65pt;height:1.65pt;mso-position-horizontal-relative:page;mso-position-vertical-relative:paragraph;z-index:15735296" id="docshape19" coordorigin="1675,412" coordsize="33,33" path="m1696,444l1687,444,1683,443,1676,436,1675,433,1675,424,1676,420,1683,413,1687,412,1696,412,1699,413,1706,420,1707,424,1707,428,1707,433,1706,436,1699,443,1696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Co-author, “A refresher on Nevada personnel file rules in wake of COVID-19,”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z w:val="20"/>
        </w:rPr>
        <w:t> Employment Law Letter, </w:t>
      </w:r>
      <w:r>
        <w:rPr>
          <w:color w:val="6E6158"/>
          <w:sz w:val="19"/>
        </w:rPr>
        <w:t>June 1, 2020</w:t>
      </w:r>
    </w:p>
    <w:p>
      <w:pPr>
        <w:pStyle w:val="BodyText"/>
        <w:spacing w:line="288" w:lineRule="auto" w:before="131"/>
        <w:ind w:right="66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242355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083088pt;width:1.65pt;height:1.65pt;mso-position-horizontal-relative:page;mso-position-vertical-relative:paragraph;z-index:15735808" id="docshape20" coordorigin="1675,382" coordsize="33,33" path="m1696,414l1687,414,1683,413,1676,406,1675,402,1675,393,1676,390,1683,383,1687,382,1696,382,1699,383,1706,390,1707,393,1707,398,1707,402,1706,406,1699,413,1696,4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“Nevada AG Joins Push to Add ERA to U.S. Constitution,” </w:t>
      </w:r>
      <w:r>
        <w:rPr>
          <w:i/>
          <w:color w:val="6E6158"/>
          <w:sz w:val="20"/>
        </w:rPr>
        <w:t>HR Laws</w:t>
      </w:r>
      <w:r>
        <w:rPr>
          <w:color w:val="6E6158"/>
        </w:rPr>
        <w:t>, February 13, </w:t>
      </w:r>
      <w:r>
        <w:rPr>
          <w:color w:val="6E6158"/>
          <w:spacing w:val="-4"/>
        </w:rPr>
        <w:t>2020</w:t>
      </w:r>
    </w:p>
    <w:p>
      <w:pPr>
        <w:pStyle w:val="Heading2"/>
        <w:spacing w:before="290"/>
      </w:pPr>
      <w:r>
        <w:rPr>
          <w:color w:val="FF8100"/>
          <w:spacing w:val="-2"/>
        </w:rPr>
        <w:t>ADMISSIONS</w:t>
      </w:r>
    </w:p>
    <w:p>
      <w:pPr>
        <w:pStyle w:val="BodyText"/>
        <w:spacing w:line="422" w:lineRule="auto" w:before="146"/>
        <w:ind w:right="844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157560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6315pt;width:1.65pt;height:1.65pt;mso-position-horizontal-relative:page;mso-position-vertical-relative:paragraph;z-index:15736320" id="docshape21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415925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50057pt;width:1.65pt;height:1.65pt;mso-position-horizontal-relative:page;mso-position-vertical-relative:paragraph;z-index:15736832" id="docshape22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674291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093826pt;width:1.65pt;height:1.65pt;mso-position-horizontal-relative:page;mso-position-vertical-relative:paragraph;z-index:15737344" id="docshape23" coordorigin="1675,1062" coordsize="33,33" path="m1696,1094l1687,1094,1683,1093,1676,1086,1675,1083,1675,1074,1676,1070,1683,1063,1687,1062,1696,1062,1699,1063,1706,1070,1707,1074,1707,1078,1707,1083,1706,1086,1699,1093,1696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Colorado Nevada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104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4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https://www.fennemorelaw.com/contact-us/las-vegas/" TargetMode="External"/><Relationship Id="rId11" Type="http://schemas.openxmlformats.org/officeDocument/2006/relationships/hyperlink" Target="mailto:wbeavers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2025-08-25T22:46:39Z</dcterms:created>
  <dcterms:modified xsi:type="dcterms:W3CDTF">2025-08-25T22:46:39Z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