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18930" y="763308"/>
                            <a:ext cx="16744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ESTELA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OLIVIA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PINO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39537" y="2133494"/>
                            <a:ext cx="6337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916.273.1840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916.920.8608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64180" y="2500373"/>
                            <a:ext cx="13843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epino@fennemorelaw.com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97;top:1762;width:263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ESTELA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OLIVIA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PINO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017;top:3919;width:99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916.273.1840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916.920.8608</w:t>
                        </w:r>
                      </w:p>
                    </w:txbxContent>
                  </v:textbox>
                  <w10:wrap type="none"/>
                </v:shape>
                <v:shape style="position:absolute;left:7426;top:4497;width:218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epino@fennemorelaw.com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2"/>
      </w:pPr>
      <w:r>
        <w:rPr>
          <w:color w:val="FF8100"/>
        </w:rPr>
        <w:t>ESTELA</w:t>
      </w:r>
      <w:r>
        <w:rPr>
          <w:color w:val="FF8100"/>
          <w:spacing w:val="8"/>
        </w:rPr>
        <w:t> </w:t>
      </w:r>
      <w:r>
        <w:rPr>
          <w:color w:val="FF8100"/>
        </w:rPr>
        <w:t>OLIVIA</w:t>
      </w:r>
      <w:r>
        <w:rPr>
          <w:color w:val="FF8100"/>
          <w:spacing w:val="9"/>
        </w:rPr>
        <w:t> </w:t>
      </w:r>
      <w:r>
        <w:rPr>
          <w:color w:val="FF8100"/>
          <w:spacing w:val="-4"/>
        </w:rPr>
        <w:t>PINO</w:t>
      </w:r>
    </w:p>
    <w:p>
      <w:pPr>
        <w:pStyle w:val="BodyText"/>
        <w:spacing w:line="295" w:lineRule="auto" w:before="146"/>
        <w:ind w:left="104" w:right="124"/>
      </w:pPr>
      <w:r>
        <w:rPr>
          <w:color w:val="6E6158"/>
        </w:rPr>
        <w:t>Estela Olivia Pino is a Director in Fennemore’s Business &amp; Finance practice group, bringing more</w:t>
      </w:r>
      <w:r>
        <w:rPr>
          <w:color w:val="6E6158"/>
          <w:spacing w:val="40"/>
        </w:rPr>
        <w:t> </w:t>
      </w:r>
      <w:r>
        <w:rPr>
          <w:color w:val="6E6158"/>
        </w:rPr>
        <w:t>than four decades of experience in bankruptcy law, bankruptcy litigation, and debtor/creditor</w:t>
      </w:r>
      <w:r>
        <w:rPr>
          <w:color w:val="6E6158"/>
          <w:spacing w:val="40"/>
        </w:rPr>
        <w:t> </w:t>
      </w:r>
      <w:r>
        <w:rPr>
          <w:color w:val="6E6158"/>
        </w:rPr>
        <w:t>matters.</w:t>
      </w:r>
      <w:r>
        <w:rPr>
          <w:color w:val="6E6158"/>
          <w:spacing w:val="27"/>
        </w:rPr>
        <w:t> </w:t>
      </w:r>
      <w:r>
        <w:rPr>
          <w:color w:val="6E6158"/>
        </w:rPr>
        <w:t>Over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course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distinguished</w:t>
      </w:r>
      <w:r>
        <w:rPr>
          <w:color w:val="6E6158"/>
          <w:spacing w:val="27"/>
        </w:rPr>
        <w:t> </w:t>
      </w:r>
      <w:r>
        <w:rPr>
          <w:color w:val="6E6158"/>
        </w:rPr>
        <w:t>career,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represented</w:t>
      </w:r>
      <w:r>
        <w:rPr>
          <w:color w:val="6E6158"/>
          <w:spacing w:val="27"/>
        </w:rPr>
        <w:t> </w:t>
      </w:r>
      <w:r>
        <w:rPr>
          <w:color w:val="6E6158"/>
        </w:rPr>
        <w:t>Chapter</w:t>
      </w:r>
      <w:r>
        <w:rPr>
          <w:color w:val="6E6158"/>
          <w:spacing w:val="27"/>
        </w:rPr>
        <w:t> </w:t>
      </w:r>
      <w:r>
        <w:rPr>
          <w:color w:val="6E6158"/>
        </w:rPr>
        <w:t>7</w:t>
      </w:r>
      <w:r>
        <w:rPr>
          <w:color w:val="6E6158"/>
          <w:spacing w:val="27"/>
        </w:rPr>
        <w:t> </w:t>
      </w:r>
      <w:r>
        <w:rPr>
          <w:color w:val="6E6158"/>
        </w:rPr>
        <w:t>and Chapter 11 trustees, debtors in possession, creditors’ committees, creditors, and litigants across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wide range of complex proceedings.</w:t>
      </w:r>
    </w:p>
    <w:p>
      <w:pPr>
        <w:pStyle w:val="BodyText"/>
        <w:spacing w:line="292" w:lineRule="auto" w:before="203"/>
        <w:ind w:left="104" w:right="140"/>
      </w:pPr>
      <w:r>
        <w:rPr>
          <w:color w:val="6E6158"/>
        </w:rPr>
        <w:t>Estela</w:t>
      </w:r>
      <w:r>
        <w:rPr>
          <w:color w:val="6E6158"/>
          <w:spacing w:val="27"/>
        </w:rPr>
        <w:t> </w:t>
      </w:r>
      <w:r>
        <w:rPr>
          <w:color w:val="6E6158"/>
        </w:rPr>
        <w:t>began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career</w:t>
      </w:r>
      <w:r>
        <w:rPr>
          <w:color w:val="6E6158"/>
          <w:spacing w:val="27"/>
        </w:rPr>
        <w:t> </w:t>
      </w:r>
      <w:r>
        <w:rPr>
          <w:color w:val="6E6158"/>
        </w:rPr>
        <w:t>at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boutique</w:t>
      </w:r>
      <w:r>
        <w:rPr>
          <w:color w:val="6E6158"/>
          <w:spacing w:val="27"/>
        </w:rPr>
        <w:t> </w:t>
      </w:r>
      <w:r>
        <w:rPr>
          <w:color w:val="6E6158"/>
        </w:rPr>
        <w:t>bankruptcy</w:t>
      </w:r>
      <w:r>
        <w:rPr>
          <w:color w:val="6E6158"/>
          <w:spacing w:val="27"/>
        </w:rPr>
        <w:t> </w:t>
      </w:r>
      <w:r>
        <w:rPr>
          <w:color w:val="6E6158"/>
        </w:rPr>
        <w:t>firm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Melvyn</w:t>
      </w:r>
      <w:r>
        <w:rPr>
          <w:color w:val="6E6158"/>
          <w:spacing w:val="27"/>
        </w:rPr>
        <w:t> </w:t>
      </w:r>
      <w:r>
        <w:rPr>
          <w:color w:val="6E6158"/>
        </w:rPr>
        <w:t>J.</w:t>
      </w:r>
      <w:r>
        <w:rPr>
          <w:color w:val="6E6158"/>
          <w:spacing w:val="27"/>
        </w:rPr>
        <w:t> </w:t>
      </w:r>
      <w:r>
        <w:rPr>
          <w:color w:val="6E6158"/>
        </w:rPr>
        <w:t>CoBen</w:t>
      </w:r>
      <w:r>
        <w:rPr>
          <w:color w:val="6E6158"/>
          <w:spacing w:val="27"/>
        </w:rPr>
        <w:t> </w:t>
      </w:r>
      <w:r>
        <w:rPr>
          <w:color w:val="6E6158"/>
        </w:rPr>
        <w:t>before</w:t>
      </w:r>
      <w:r>
        <w:rPr>
          <w:color w:val="6E6158"/>
          <w:spacing w:val="27"/>
        </w:rPr>
        <w:t> </w:t>
      </w:r>
      <w:r>
        <w:rPr>
          <w:color w:val="6E6158"/>
        </w:rPr>
        <w:t>practicing at Weintraub, Genshlea, Hardy, Erich &amp; Brown, and later at Greve, Clifford, Diepenbrock &amp; Paras.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1995,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established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own</w:t>
      </w:r>
      <w:r>
        <w:rPr>
          <w:color w:val="6E6158"/>
          <w:spacing w:val="27"/>
        </w:rPr>
        <w:t> </w:t>
      </w:r>
      <w:r>
        <w:rPr>
          <w:color w:val="6E6158"/>
        </w:rPr>
        <w:t>practice,</w:t>
      </w:r>
      <w:r>
        <w:rPr>
          <w:color w:val="6E6158"/>
          <w:spacing w:val="27"/>
        </w:rPr>
        <w:t> </w:t>
      </w:r>
      <w:r>
        <w:rPr>
          <w:color w:val="6E6158"/>
        </w:rPr>
        <w:t>Pino</w:t>
      </w:r>
      <w:r>
        <w:rPr>
          <w:color w:val="6E6158"/>
          <w:spacing w:val="27"/>
        </w:rPr>
        <w:t> </w:t>
      </w:r>
      <w:r>
        <w:rPr>
          <w:color w:val="6E6158"/>
        </w:rPr>
        <w:t>&amp;</w:t>
      </w:r>
      <w:r>
        <w:rPr>
          <w:color w:val="6E6158"/>
          <w:spacing w:val="27"/>
        </w:rPr>
        <w:t> </w:t>
      </w:r>
      <w:r>
        <w:rPr>
          <w:color w:val="6E6158"/>
        </w:rPr>
        <w:t>Associates.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2025,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joined</w:t>
      </w:r>
      <w:r>
        <w:rPr>
          <w:color w:val="6E6158"/>
          <w:spacing w:val="27"/>
        </w:rPr>
        <w:t> </w:t>
      </w:r>
      <w:r>
        <w:rPr>
          <w:color w:val="6E6158"/>
        </w:rPr>
        <w:t>Fennemore, where she continues to focus on high-level bankruptcy and litigation matters.</w:t>
      </w:r>
    </w:p>
    <w:p>
      <w:pPr>
        <w:spacing w:line="285" w:lineRule="auto" w:before="206"/>
        <w:ind w:left="104" w:right="178" w:firstLine="0"/>
        <w:jc w:val="left"/>
        <w:rPr>
          <w:sz w:val="19"/>
        </w:rPr>
      </w:pPr>
      <w:r>
        <w:rPr>
          <w:color w:val="6E6158"/>
          <w:sz w:val="19"/>
        </w:rPr>
        <w:t>She earned her law degree from the University of the Pacific, McGeorge School of Law, where</w:t>
      </w:r>
      <w:r>
        <w:rPr>
          <w:color w:val="6E6158"/>
          <w:spacing w:val="80"/>
          <w:w w:val="150"/>
          <w:sz w:val="19"/>
        </w:rPr>
        <w:t> </w:t>
      </w:r>
      <w:r>
        <w:rPr>
          <w:color w:val="6E6158"/>
          <w:sz w:val="19"/>
        </w:rPr>
        <w:t>she</w:t>
      </w:r>
      <w:r>
        <w:rPr>
          <w:color w:val="6E6158"/>
          <w:spacing w:val="24"/>
          <w:sz w:val="19"/>
        </w:rPr>
        <w:t> </w:t>
      </w:r>
      <w:r>
        <w:rPr>
          <w:color w:val="6E6158"/>
          <w:sz w:val="19"/>
        </w:rPr>
        <w:t>was</w:t>
      </w:r>
      <w:r>
        <w:rPr>
          <w:color w:val="6E6158"/>
          <w:spacing w:val="24"/>
          <w:sz w:val="19"/>
        </w:rPr>
        <w:t> </w:t>
      </w:r>
      <w:r>
        <w:rPr>
          <w:color w:val="6E6158"/>
          <w:sz w:val="19"/>
        </w:rPr>
        <w:t>inducted</w:t>
      </w:r>
      <w:r>
        <w:rPr>
          <w:color w:val="6E6158"/>
          <w:spacing w:val="24"/>
          <w:sz w:val="19"/>
        </w:rPr>
        <w:t> </w:t>
      </w:r>
      <w:r>
        <w:rPr>
          <w:color w:val="6E6158"/>
          <w:sz w:val="19"/>
        </w:rPr>
        <w:t>into</w:t>
      </w:r>
      <w:r>
        <w:rPr>
          <w:color w:val="6E6158"/>
          <w:spacing w:val="24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24"/>
          <w:sz w:val="19"/>
        </w:rPr>
        <w:t> </w:t>
      </w:r>
      <w:r>
        <w:rPr>
          <w:color w:val="6E6158"/>
          <w:sz w:val="19"/>
        </w:rPr>
        <w:t>Order</w:t>
      </w:r>
      <w:r>
        <w:rPr>
          <w:color w:val="6E6158"/>
          <w:spacing w:val="2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4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24"/>
          <w:sz w:val="19"/>
        </w:rPr>
        <w:t> </w:t>
      </w:r>
      <w:r>
        <w:rPr>
          <w:color w:val="6E6158"/>
          <w:sz w:val="19"/>
        </w:rPr>
        <w:t>Coif</w:t>
      </w:r>
      <w:r>
        <w:rPr>
          <w:color w:val="6E6158"/>
          <w:spacing w:val="24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4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24"/>
          <w:sz w:val="19"/>
        </w:rPr>
        <w:t> </w:t>
      </w:r>
      <w:r>
        <w:rPr>
          <w:color w:val="6E6158"/>
          <w:sz w:val="19"/>
        </w:rPr>
        <w:t>Traynor</w:t>
      </w:r>
      <w:r>
        <w:rPr>
          <w:color w:val="6E6158"/>
          <w:spacing w:val="24"/>
          <w:sz w:val="19"/>
        </w:rPr>
        <w:t> </w:t>
      </w:r>
      <w:r>
        <w:rPr>
          <w:color w:val="6E6158"/>
          <w:sz w:val="19"/>
        </w:rPr>
        <w:t>Honor</w:t>
      </w:r>
      <w:r>
        <w:rPr>
          <w:color w:val="6E6158"/>
          <w:spacing w:val="24"/>
          <w:sz w:val="19"/>
        </w:rPr>
        <w:t> </w:t>
      </w:r>
      <w:r>
        <w:rPr>
          <w:color w:val="6E6158"/>
          <w:sz w:val="19"/>
        </w:rPr>
        <w:t>Society.</w:t>
      </w:r>
      <w:r>
        <w:rPr>
          <w:color w:val="6E6158"/>
          <w:spacing w:val="24"/>
          <w:sz w:val="19"/>
        </w:rPr>
        <w:t> </w:t>
      </w:r>
      <w:r>
        <w:rPr>
          <w:color w:val="6E6158"/>
          <w:sz w:val="19"/>
        </w:rPr>
        <w:t>During</w:t>
      </w:r>
      <w:r>
        <w:rPr>
          <w:color w:val="6E6158"/>
          <w:spacing w:val="24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24"/>
          <w:sz w:val="19"/>
        </w:rPr>
        <w:t> </w:t>
      </w:r>
      <w:r>
        <w:rPr>
          <w:color w:val="6E6158"/>
          <w:sz w:val="19"/>
        </w:rPr>
        <w:t>school, she served as a staff writer and assistant editor for the </w:t>
      </w:r>
      <w:r>
        <w:rPr>
          <w:i/>
          <w:color w:val="6E6158"/>
          <w:sz w:val="20"/>
        </w:rPr>
        <w:t>Pacific Law Journal</w:t>
      </w:r>
      <w:r>
        <w:rPr>
          <w:color w:val="6E6158"/>
          <w:sz w:val="19"/>
        </w:rPr>
        <w:t>, publishing scholarship on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an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insolvency-related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issue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entitled,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“</w:t>
      </w:r>
      <w:r>
        <w:rPr>
          <w:i/>
          <w:color w:val="6E6158"/>
          <w:sz w:val="20"/>
        </w:rPr>
        <w:t>Contra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Tufts: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Case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Against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Fair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Market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Value</w:t>
      </w:r>
      <w:r>
        <w:rPr>
          <w:i/>
          <w:color w:val="6E6158"/>
          <w:sz w:val="20"/>
        </w:rPr>
        <w:t> of Limitation on Amount Realized</w:t>
      </w:r>
      <w:r>
        <w:rPr>
          <w:color w:val="6E6158"/>
          <w:sz w:val="19"/>
        </w:rPr>
        <w:t>.”</w:t>
      </w:r>
    </w:p>
    <w:p>
      <w:pPr>
        <w:pStyle w:val="BodyText"/>
        <w:spacing w:line="292" w:lineRule="auto" w:before="198"/>
        <w:ind w:left="104" w:right="376"/>
      </w:pPr>
      <w:r>
        <w:rPr>
          <w:color w:val="6E6158"/>
        </w:rPr>
        <w:t>Estela is a member of the California Bankruptcy Forum, the Sacramento Valley </w:t>
      </w:r>
      <w:r>
        <w:rPr>
          <w:color w:val="6E6158"/>
        </w:rPr>
        <w:t>Bankruptcy Forum, and the Inland Empire Bankruptcy Forum.</w:t>
      </w:r>
    </w:p>
    <w:p>
      <w:pPr>
        <w:pStyle w:val="BodyText"/>
        <w:spacing w:line="292" w:lineRule="auto" w:before="205"/>
        <w:ind w:left="104" w:right="178"/>
      </w:pPr>
      <w:r>
        <w:rPr>
          <w:color w:val="6E6158"/>
        </w:rPr>
        <w:t>A native of Havana, Cuba, Estela grew up in Miami, Florida, but considers herself a “Valley Girl,”</w:t>
      </w:r>
      <w:r>
        <w:rPr>
          <w:color w:val="6E6158"/>
          <w:spacing w:val="40"/>
        </w:rPr>
        <w:t> </w:t>
      </w:r>
      <w:r>
        <w:rPr>
          <w:color w:val="6E6158"/>
        </w:rPr>
        <w:t>Central</w:t>
      </w:r>
      <w:r>
        <w:rPr>
          <w:color w:val="6E6158"/>
          <w:spacing w:val="22"/>
        </w:rPr>
        <w:t> </w:t>
      </w:r>
      <w:r>
        <w:rPr>
          <w:color w:val="6E6158"/>
        </w:rPr>
        <w:t>Valley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California</w:t>
      </w:r>
      <w:r>
        <w:rPr>
          <w:color w:val="6E6158"/>
          <w:spacing w:val="22"/>
        </w:rPr>
        <w:t> </w:t>
      </w:r>
      <w:r>
        <w:rPr>
          <w:color w:val="6E6158"/>
        </w:rPr>
        <w:t>that</w:t>
      </w:r>
      <w:r>
        <w:rPr>
          <w:color w:val="6E6158"/>
          <w:spacing w:val="22"/>
        </w:rPr>
        <w:t> </w:t>
      </w:r>
      <w:r>
        <w:rPr>
          <w:color w:val="6E6158"/>
        </w:rPr>
        <w:t>is.</w:t>
      </w:r>
      <w:r>
        <w:rPr>
          <w:color w:val="6E6158"/>
          <w:spacing w:val="80"/>
        </w:rPr>
        <w:t> </w:t>
      </w:r>
      <w:r>
        <w:rPr>
          <w:color w:val="6E6158"/>
        </w:rPr>
        <w:t>She</w:t>
      </w:r>
      <w:r>
        <w:rPr>
          <w:color w:val="6E6158"/>
          <w:spacing w:val="22"/>
        </w:rPr>
        <w:t> </w:t>
      </w:r>
      <w:r>
        <w:rPr>
          <w:color w:val="6E6158"/>
        </w:rPr>
        <w:t>resides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Placer</w:t>
      </w:r>
      <w:r>
        <w:rPr>
          <w:color w:val="6E6158"/>
          <w:spacing w:val="22"/>
        </w:rPr>
        <w:t> </w:t>
      </w:r>
      <w:r>
        <w:rPr>
          <w:color w:val="6E6158"/>
        </w:rPr>
        <w:t>County</w:t>
      </w:r>
      <w:r>
        <w:rPr>
          <w:color w:val="6E6158"/>
          <w:spacing w:val="22"/>
        </w:rPr>
        <w:t> </w:t>
      </w:r>
      <w:r>
        <w:rPr>
          <w:color w:val="6E6158"/>
        </w:rPr>
        <w:t>with</w:t>
      </w:r>
      <w:r>
        <w:rPr>
          <w:color w:val="6E6158"/>
          <w:spacing w:val="22"/>
        </w:rPr>
        <w:t> </w:t>
      </w:r>
      <w:r>
        <w:rPr>
          <w:color w:val="6E6158"/>
        </w:rPr>
        <w:t>her</w:t>
      </w:r>
      <w:r>
        <w:rPr>
          <w:color w:val="6E6158"/>
          <w:spacing w:val="22"/>
        </w:rPr>
        <w:t> </w:t>
      </w:r>
      <w:r>
        <w:rPr>
          <w:color w:val="6E6158"/>
        </w:rPr>
        <w:t>husband,</w:t>
      </w:r>
      <w:r>
        <w:rPr>
          <w:color w:val="6E6158"/>
          <w:spacing w:val="22"/>
        </w:rPr>
        <w:t> </w:t>
      </w:r>
      <w:r>
        <w:rPr>
          <w:color w:val="6E6158"/>
        </w:rPr>
        <w:t>Mike,</w:t>
      </w:r>
      <w:r>
        <w:rPr>
          <w:color w:val="6E6158"/>
          <w:spacing w:val="22"/>
        </w:rPr>
        <w:t> </w:t>
      </w:r>
      <w:r>
        <w:rPr>
          <w:color w:val="6E6158"/>
        </w:rPr>
        <w:t>an estate planning attorney, and their three beloved Bichon Frises.</w:t>
      </w:r>
    </w:p>
    <w:p>
      <w:pPr>
        <w:pStyle w:val="Heading2"/>
        <w:spacing w:before="163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157609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023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Pacific,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McGeorge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420" w:lineRule="auto" w:before="180"/>
        <w:ind w:left="356" w:right="45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173904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3231pt;width:1.65pt;height:1.65pt;mso-position-horizontal-relative:page;mso-position-vertical-relative:paragraph;z-index:15729664" id="docshape12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437437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43871pt;width:1.65pt;height:1.65pt;mso-position-horizontal-relative:page;mso-position-vertical-relative:paragraph;z-index:15730176" id="docshape13" coordorigin="1675,689" coordsize="33,33" path="m1696,721l1687,721,1683,720,1676,713,1675,710,1675,701,1676,697,1683,690,1687,689,1696,689,1699,690,1706,697,1707,701,1707,705,1707,710,1706,713,1699,720,1696,7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Oakland University Rochester, Michigan University of Miami, Coral Gables, </w:t>
      </w:r>
      <w:r>
        <w:rPr>
          <w:color w:val="6E6158"/>
        </w:rPr>
        <w:t>Florida</w:t>
      </w:r>
    </w:p>
    <w:p>
      <w:pPr>
        <w:spacing w:before="16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EXPERIENCE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Bankruptcy</w:t>
      </w:r>
      <w:r>
        <w:rPr>
          <w:color w:val="6E6158"/>
          <w:spacing w:val="15"/>
        </w:rPr>
        <w:t> </w:t>
      </w:r>
      <w:r>
        <w:rPr>
          <w:color w:val="6E6158"/>
        </w:rPr>
        <w:t>&amp;</w:t>
      </w:r>
      <w:r>
        <w:rPr>
          <w:color w:val="6E6158"/>
          <w:spacing w:val="16"/>
        </w:rPr>
        <w:t> </w:t>
      </w:r>
      <w:r>
        <w:rPr>
          <w:color w:val="6E6158"/>
        </w:rPr>
        <w:t>Bankruptcy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302" w:lineRule="auto" w:before="174"/>
        <w:ind w:left="356" w:right="6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1200" id="docshape1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356192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686pt;width:1.65pt;height:1.65pt;mso-position-horizontal-relative:page;mso-position-vertical-relative:paragraph;z-index:15731712" id="docshape16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Judgment </w:t>
      </w:r>
      <w:r>
        <w:rPr>
          <w:color w:val="6E6158"/>
        </w:rPr>
        <w:t>Enforcement Business &amp; Finance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131295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22pt;width:1.65pt;height:1.65pt;mso-position-horizontal-relative:page;mso-position-vertical-relative:paragraph;z-index:15732224" id="docshape17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Restructuring</w:t>
      </w:r>
    </w:p>
    <w:p>
      <w:pPr>
        <w:pStyle w:val="BodyText"/>
        <w:spacing w:before="41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157786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4106pt;width:1.65pt;height:1.65pt;mso-position-horizontal-relative:page;mso-position-vertical-relative:paragraph;z-index:15732736" id="docshape18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18"/>
        </w:rPr>
        <w:t> </w:t>
      </w:r>
      <w:r>
        <w:rPr>
          <w:color w:val="6E6158"/>
        </w:rPr>
        <w:t>“Pleading</w:t>
      </w:r>
      <w:r>
        <w:rPr>
          <w:color w:val="6E6158"/>
          <w:spacing w:val="17"/>
        </w:rPr>
        <w:t> </w:t>
      </w:r>
      <w:r>
        <w:rPr>
          <w:color w:val="6E6158"/>
        </w:rPr>
        <w:t>with</w:t>
      </w:r>
      <w:r>
        <w:rPr>
          <w:color w:val="6E6158"/>
          <w:spacing w:val="18"/>
        </w:rPr>
        <w:t> </w:t>
      </w:r>
      <w:r>
        <w:rPr>
          <w:color w:val="6E6158"/>
        </w:rPr>
        <w:t>Particularity,”</w:t>
      </w:r>
      <w:r>
        <w:rPr>
          <w:color w:val="6E6158"/>
          <w:spacing w:val="18"/>
        </w:rPr>
        <w:t> </w:t>
      </w:r>
      <w:r>
        <w:rPr>
          <w:color w:val="6E6158"/>
        </w:rPr>
        <w:t>2023</w:t>
      </w:r>
      <w:r>
        <w:rPr>
          <w:color w:val="6E6158"/>
          <w:spacing w:val="18"/>
        </w:rPr>
        <w:t> </w:t>
      </w:r>
      <w:r>
        <w:rPr>
          <w:color w:val="6E6158"/>
        </w:rPr>
        <w:t>Northern</w:t>
      </w:r>
      <w:r>
        <w:rPr>
          <w:color w:val="6E6158"/>
          <w:spacing w:val="18"/>
        </w:rPr>
        <w:t> </w:t>
      </w:r>
      <w:r>
        <w:rPr>
          <w:color w:val="6E6158"/>
        </w:rPr>
        <w:t>California</w:t>
      </w:r>
      <w:r>
        <w:rPr>
          <w:color w:val="6E6158"/>
          <w:spacing w:val="18"/>
        </w:rPr>
        <w:t> </w:t>
      </w:r>
      <w:r>
        <w:rPr>
          <w:color w:val="6E6158"/>
        </w:rPr>
        <w:t>Bankruptcy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Conference</w:t>
      </w:r>
    </w:p>
    <w:p>
      <w:pPr>
        <w:pStyle w:val="BodyText"/>
        <w:spacing w:line="427" w:lineRule="auto" w:before="174"/>
        <w:ind w:left="356" w:righ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174880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149pt;width:1.65pt;height:1.65pt;mso-position-horizontal-relative:page;mso-position-vertical-relative:paragraph;z-index:15733248" id="docshape1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433246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3899pt;width:1.65pt;height:1.65pt;mso-position-horizontal-relative:page;mso-position-vertical-relative:paragraph;z-index:15733760" id="docshape20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Case Updates, 2023 bankruptcy breakout session of the Eastern District </w:t>
      </w:r>
      <w:r>
        <w:rPr>
          <w:color w:val="6E6158"/>
        </w:rPr>
        <w:t>Conference</w:t>
      </w:r>
      <w:r>
        <w:rPr>
          <w:color w:val="6E6158"/>
          <w:spacing w:val="40"/>
        </w:rPr>
        <w:t> </w:t>
      </w:r>
      <w:r>
        <w:rPr>
          <w:color w:val="6E6158"/>
        </w:rPr>
        <w:t>Panelist,</w:t>
      </w:r>
      <w:r>
        <w:rPr>
          <w:color w:val="6E6158"/>
          <w:spacing w:val="40"/>
        </w:rPr>
        <w:t> </w:t>
      </w:r>
      <w:r>
        <w:rPr>
          <w:color w:val="6E6158"/>
        </w:rPr>
        <w:t>“2024</w:t>
      </w:r>
      <w:r>
        <w:rPr>
          <w:color w:val="6E6158"/>
          <w:spacing w:val="40"/>
        </w:rPr>
        <w:t> </w:t>
      </w:r>
      <w:r>
        <w:rPr>
          <w:color w:val="6E6158"/>
        </w:rPr>
        <w:t>Case</w:t>
      </w:r>
      <w:r>
        <w:rPr>
          <w:color w:val="6E6158"/>
          <w:spacing w:val="40"/>
        </w:rPr>
        <w:t> </w:t>
      </w:r>
      <w:r>
        <w:rPr>
          <w:color w:val="6E6158"/>
        </w:rPr>
        <w:t>Update,”</w:t>
      </w:r>
      <w:r>
        <w:rPr>
          <w:color w:val="6E6158"/>
          <w:spacing w:val="40"/>
        </w:rPr>
        <w:t> </w:t>
      </w:r>
      <w:r>
        <w:rPr>
          <w:color w:val="6E6158"/>
        </w:rPr>
        <w:t>2024</w:t>
      </w:r>
      <w:r>
        <w:rPr>
          <w:color w:val="6E6158"/>
          <w:spacing w:val="40"/>
        </w:rPr>
        <w:t> </w:t>
      </w:r>
      <w:r>
        <w:rPr>
          <w:color w:val="6E6158"/>
        </w:rPr>
        <w:t>Northern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Bankruptcy</w:t>
      </w:r>
      <w:r>
        <w:rPr>
          <w:color w:val="6E6158"/>
          <w:spacing w:val="40"/>
        </w:rPr>
        <w:t> </w:t>
      </w:r>
      <w:r>
        <w:rPr>
          <w:color w:val="6E6158"/>
        </w:rPr>
        <w:t>Conference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59673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8694pt;width:1.65pt;height:1.65pt;mso-position-horizontal-relative:page;mso-position-vertical-relative:paragraph;z-index:15734272" id="docshape21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18"/>
        </w:rPr>
        <w:t> </w:t>
      </w:r>
      <w:r>
        <w:rPr>
          <w:color w:val="6E6158"/>
        </w:rPr>
        <w:t>“Civility,”</w:t>
      </w:r>
      <w:r>
        <w:rPr>
          <w:color w:val="6E6158"/>
          <w:spacing w:val="18"/>
        </w:rPr>
        <w:t> </w:t>
      </w:r>
      <w:r>
        <w:rPr>
          <w:color w:val="6E6158"/>
        </w:rPr>
        <w:t>2025</w:t>
      </w:r>
      <w:r>
        <w:rPr>
          <w:color w:val="6E6158"/>
          <w:spacing w:val="18"/>
        </w:rPr>
        <w:t> </w:t>
      </w:r>
      <w:r>
        <w:rPr>
          <w:color w:val="6E6158"/>
        </w:rPr>
        <w:t>Northern</w:t>
      </w:r>
      <w:r>
        <w:rPr>
          <w:color w:val="6E6158"/>
          <w:spacing w:val="18"/>
        </w:rPr>
        <w:t> </w:t>
      </w:r>
      <w:r>
        <w:rPr>
          <w:color w:val="6E6158"/>
        </w:rPr>
        <w:t>California</w:t>
      </w:r>
      <w:r>
        <w:rPr>
          <w:color w:val="6E6158"/>
          <w:spacing w:val="18"/>
        </w:rPr>
        <w:t> </w:t>
      </w:r>
      <w:r>
        <w:rPr>
          <w:color w:val="6E6158"/>
        </w:rPr>
        <w:t>Bankruptcy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Conference</w:t>
      </w:r>
    </w:p>
    <w:p>
      <w:pPr>
        <w:pStyle w:val="BodyText"/>
        <w:spacing w:before="40"/>
        <w:rPr>
          <w:sz w:val="24"/>
        </w:rPr>
      </w:pPr>
    </w:p>
    <w:p>
      <w:pPr>
        <w:pStyle w:val="Heading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left="356" w:right="45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158104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175pt;width:1.65pt;height:1.65pt;mso-position-horizontal-relative:page;mso-position-vertical-relative:paragraph;z-index:15734784" id="docshape22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416470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923pt;width:1.65pt;height:1.65pt;mso-position-horizontal-relative:page;mso-position-vertical-relative:paragraph;z-index:15735296" id="docshape2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674835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6673pt;width:1.65pt;height:1.65pt;mso-position-horizontal-relative:page;mso-position-vertical-relative:paragraph;z-index:15735808" id="docshape24" coordorigin="1675,1063" coordsize="33,33" path="m1696,1095l1687,1095,1683,1094,1676,1087,1675,1084,1675,1075,1676,1071,1683,1064,1687,1063,1696,1063,1699,1064,1706,1071,1707,1075,1707,1079,1707,1084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Bankruptcy</w:t>
      </w:r>
      <w:r>
        <w:rPr>
          <w:color w:val="6E6158"/>
          <w:spacing w:val="40"/>
        </w:rPr>
        <w:t> </w:t>
      </w:r>
      <w:r>
        <w:rPr>
          <w:color w:val="6E6158"/>
        </w:rPr>
        <w:t>Forum Member, Sacramento Valley Bankruptcy </w:t>
      </w:r>
      <w:r>
        <w:rPr>
          <w:color w:val="6E6158"/>
        </w:rPr>
        <w:t>Forum Member, Inland Empire Bankruptcy Forum</w:t>
      </w:r>
    </w:p>
    <w:p>
      <w:pPr>
        <w:pStyle w:val="Heading2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56" w:right="45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157902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272pt;width:1.65pt;height:1.65pt;mso-position-horizontal-relative:page;mso-position-vertical-relative:paragraph;z-index:15736320" id="docshape25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416268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702pt;width:1.65pt;height:1.65pt;mso-position-horizontal-relative:page;mso-position-vertical-relative:paragraph;z-index:15736832" id="docshape26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Supreme Court of the United States of </w:t>
      </w:r>
      <w:r>
        <w:rPr>
          <w:color w:val="6E6158"/>
        </w:rPr>
        <w:t>America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63548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3803pt;width:1.65pt;height:1.65pt;mso-position-horizontal-relative:page;mso-position-vertical-relative:paragraph;z-index:15737344" id="docshape2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0"/>
        </w:rPr>
        <w:t> </w:t>
      </w:r>
      <w:r>
        <w:rPr>
          <w:color w:val="6E6158"/>
        </w:rPr>
        <w:t>States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line="422" w:lineRule="auto" w:before="174"/>
        <w:ind w:left="356" w:right="26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175345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713pt;width:1.65pt;height:1.65pt;mso-position-horizontal-relative:page;mso-position-vertical-relative:paragraph;z-index:15737856" id="docshape2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433711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0478pt;width:1.65pt;height:1.65pt;mso-position-horizontal-relative:page;mso-position-vertical-relative:paragraph;z-index:15738368" id="docshape29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692076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94225pt;width:1.65pt;height:1.65pt;mso-position-horizontal-relative:page;mso-position-vertical-relative:paragraph;z-index:15738880" id="docshape30" coordorigin="1675,1090" coordsize="33,33" path="m1696,1122l1687,1122,1683,1121,1676,1114,1675,1111,1675,1102,1676,1098,1683,1091,1687,1090,1696,1090,1699,1091,1706,1098,1707,1102,1707,1106,1707,1111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United States District Court for the Eastern District of California The United States District Court for the Northern District of </w:t>
      </w:r>
      <w:r>
        <w:rPr>
          <w:color w:val="6E6158"/>
        </w:rPr>
        <w:t>California The United States District Court for the Central District of California</w:t>
      </w:r>
    </w:p>
    <w:p>
      <w:pPr>
        <w:spacing w:line="234" w:lineRule="exact" w:before="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58903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8083pt;width:1.65pt;height:1.65pt;mso-position-horizontal-relative:page;mso-position-vertical-relative:paragraph;z-index:15739392" id="docshape31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United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States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Bankruptcy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Court,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District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Nevada,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pro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hac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vice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basis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173896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2658pt;width:1.65pt;height:1.65pt;mso-position-horizontal-relative:page;mso-position-vertical-relative:paragraph;z-index:15739904" id="docshape32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United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States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Bankruptcy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Court,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District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pro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hac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vice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basis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173681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5684pt;width:1.65pt;height:1.65pt;mso-position-horizontal-relative:page;mso-position-vertical-relative:paragraph;z-index:15740416" id="docshape33" coordorigin="1675,274" coordsize="33,33" path="m1696,306l1687,306,1683,304,1676,298,1675,294,1675,285,1676,281,1683,275,1687,274,1696,274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United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States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Bankruptcy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Court,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Northern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District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Illinois,</w:t>
      </w:r>
      <w:r>
        <w:rPr>
          <w:color w:val="6E6158"/>
          <w:spacing w:val="7"/>
          <w:sz w:val="19"/>
        </w:rPr>
        <w:t> </w:t>
      </w:r>
      <w:r>
        <w:rPr>
          <w:i/>
          <w:color w:val="6E6158"/>
          <w:sz w:val="20"/>
        </w:rPr>
        <w:t>pro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z w:val="20"/>
        </w:rPr>
        <w:t>hac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vice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basis</w:t>
      </w:r>
    </w:p>
    <w:p>
      <w:pPr>
        <w:spacing w:before="169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173465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8685pt;width:1.65pt;height:1.65pt;mso-position-horizontal-relative:page;mso-position-vertical-relative:paragraph;z-index:15740928" id="docshape34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United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States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Bankruptcy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Court,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District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Alaska,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pro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hac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vice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basis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168804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1685pt;width:1.65pt;height:1.65pt;mso-position-horizontal-relative:page;mso-position-vertical-relative:paragraph;z-index:15741440" id="docshape35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United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States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Bankruptcy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Court,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Southern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District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Florida,</w:t>
      </w:r>
      <w:r>
        <w:rPr>
          <w:color w:val="6E6158"/>
          <w:spacing w:val="7"/>
          <w:sz w:val="19"/>
        </w:rPr>
        <w:t> </w:t>
      </w:r>
      <w:r>
        <w:rPr>
          <w:i/>
          <w:color w:val="6E6158"/>
          <w:sz w:val="20"/>
        </w:rPr>
        <w:t>pro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hac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z w:val="20"/>
        </w:rPr>
        <w:t>vice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basis</w:t>
      </w:r>
    </w:p>
    <w:p>
      <w:pPr>
        <w:pStyle w:val="BodyText"/>
        <w:spacing w:before="39"/>
        <w:rPr>
          <w:i/>
          <w:sz w:val="24"/>
        </w:rPr>
      </w:pPr>
    </w:p>
    <w:p>
      <w:pPr>
        <w:pStyle w:val="Heading2"/>
      </w:pPr>
      <w:r>
        <w:rPr>
          <w:color w:val="FF8100"/>
          <w:spacing w:val="-2"/>
        </w:rPr>
        <w:t>LANGUAGES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157664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544pt;width:1.65pt;height:1.65pt;mso-position-horizontal-relative:page;mso-position-vertical-relative:paragraph;z-index:15741952" id="docshape3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Spanish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2"/>
      <w:ind w:left="104"/>
      <w:outlineLvl w:val="1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epino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2025-09-17T19:32:52Z</dcterms:created>
  <dcterms:modified xsi:type="dcterms:W3CDTF">2025-09-17T19:32:52Z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2025-09-17T00:00:00Z</vt:filetime>
  </property>
  <property fmtid="{D5CDD505-2E9C-101B-9397-08002B2CF9AE}" pid="5" name="Producer">
    <vt:lpwstr>Skia/PDF m117</vt:lpwstr>
  </property>
</Properties>
</file>