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3162935"/>
                          <a:chExt cx="6066790" cy="316293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501" w:right="49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FRANCESCA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K.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BOYD</w:t>
                              </w:r>
                            </w:p>
                            <w:p>
                              <w:pPr>
                                <w:spacing w:before="48"/>
                                <w:ind w:left="501" w:right="501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501" w:right="50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501" w:right="50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840" w:val="left" w:leader="none"/>
                                </w:tabs>
                                <w:spacing w:before="54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510.834.1928</w:t>
                              </w:r>
                            </w:p>
                            <w:p>
                              <w:pPr>
                                <w:spacing w:before="119"/>
                                <w:ind w:left="501" w:right="50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fboyd@fennemorelaw.com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49.05pt;mso-position-horizontal-relative:char;mso-position-vertical-relative:line" id="docshapegroup1" coordorigin="0,0" coordsize="9554,4981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557" type="#_x0000_t75" id="docshape3" stroked="false">
                  <v:imagedata r:id="rId7" o:title=""/>
                </v:shape>
                <v:rect style="position:absolute;left:4776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501" w:right="49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FRANCESCA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K.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BOYD</w:t>
                        </w:r>
                      </w:p>
                      <w:p>
                        <w:pPr>
                          <w:spacing w:before="48"/>
                          <w:ind w:left="501" w:right="501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501" w:right="501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501" w:right="501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  <w:p>
                        <w:pPr>
                          <w:tabs>
                            <w:tab w:pos="1840" w:val="left" w:leader="none"/>
                          </w:tabs>
                          <w:spacing w:before="54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510.834.1928</w:t>
                        </w:r>
                      </w:p>
                      <w:p>
                        <w:pPr>
                          <w:spacing w:before="119"/>
                          <w:ind w:left="501" w:right="501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fboyd@fennemorelaw.com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8"/>
      </w:pPr>
      <w:r>
        <w:rPr>
          <w:color w:val="FF8100"/>
        </w:rPr>
        <w:t>FRANCESCA</w:t>
      </w:r>
      <w:r>
        <w:rPr>
          <w:color w:val="FF8100"/>
          <w:spacing w:val="9"/>
        </w:rPr>
        <w:t> </w:t>
      </w:r>
      <w:r>
        <w:rPr>
          <w:color w:val="FF8100"/>
        </w:rPr>
        <w:t>K.</w:t>
      </w:r>
      <w:r>
        <w:rPr>
          <w:color w:val="FF8100"/>
          <w:spacing w:val="9"/>
        </w:rPr>
        <w:t> </w:t>
      </w:r>
      <w:r>
        <w:rPr>
          <w:color w:val="FF8100"/>
          <w:spacing w:val="-4"/>
        </w:rPr>
        <w:t>BOYD</w:t>
      </w:r>
    </w:p>
    <w:p>
      <w:pPr>
        <w:pStyle w:val="BodyText"/>
        <w:spacing w:before="147"/>
        <w:ind w:left="104"/>
        <w:jc w:val="both"/>
      </w:pPr>
      <w:r>
        <w:rPr>
          <w:color w:val="6E6158"/>
        </w:rPr>
        <w:t>Francesca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3"/>
        </w:rPr>
        <w:t> </w:t>
      </w:r>
      <w:r>
        <w:rPr>
          <w:color w:val="6E6158"/>
        </w:rPr>
        <w:t>clients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all</w:t>
      </w:r>
      <w:r>
        <w:rPr>
          <w:color w:val="6E6158"/>
          <w:spacing w:val="12"/>
        </w:rPr>
        <w:t> </w:t>
      </w:r>
      <w:r>
        <w:rPr>
          <w:color w:val="6E6158"/>
        </w:rPr>
        <w:t>areas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planning,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administrative</w:t>
      </w:r>
      <w:r>
        <w:rPr>
          <w:color w:val="6E6158"/>
          <w:spacing w:val="12"/>
        </w:rPr>
        <w:t> </w:t>
      </w:r>
      <w:r>
        <w:rPr>
          <w:color w:val="6E6158"/>
        </w:rPr>
        <w:t>law,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wealth</w:t>
      </w:r>
    </w:p>
    <w:p>
      <w:pPr>
        <w:pStyle w:val="BodyText"/>
        <w:spacing w:line="292" w:lineRule="auto" w:before="60"/>
        <w:ind w:left="104" w:right="743"/>
        <w:jc w:val="both"/>
      </w:pPr>
      <w:r>
        <w:rPr>
          <w:color w:val="6E6158"/>
        </w:rPr>
        <w:t>management, and wealth transfer planning. She has experience in drafting complex wills </w:t>
      </w:r>
      <w:r>
        <w:rPr>
          <w:color w:val="6E6158"/>
        </w:rPr>
        <w:t>and trust</w:t>
      </w:r>
      <w:r>
        <w:rPr>
          <w:color w:val="6E6158"/>
          <w:spacing w:val="38"/>
        </w:rPr>
        <w:t> </w:t>
      </w:r>
      <w:r>
        <w:rPr>
          <w:color w:val="6E6158"/>
        </w:rPr>
        <w:t>agreements,</w:t>
      </w:r>
      <w:r>
        <w:rPr>
          <w:color w:val="6E6158"/>
          <w:spacing w:val="38"/>
        </w:rPr>
        <w:t> </w:t>
      </w:r>
      <w:r>
        <w:rPr>
          <w:color w:val="6E6158"/>
        </w:rPr>
        <w:t>probating</w:t>
      </w:r>
      <w:r>
        <w:rPr>
          <w:color w:val="6E6158"/>
          <w:spacing w:val="38"/>
        </w:rPr>
        <w:t> </w:t>
      </w:r>
      <w:r>
        <w:rPr>
          <w:color w:val="6E6158"/>
        </w:rPr>
        <w:t>estates,</w:t>
      </w:r>
      <w:r>
        <w:rPr>
          <w:color w:val="6E6158"/>
          <w:spacing w:val="38"/>
        </w:rPr>
        <w:t> </w:t>
      </w:r>
      <w:r>
        <w:rPr>
          <w:color w:val="6E6158"/>
        </w:rPr>
        <w:t>administering</w:t>
      </w:r>
      <w:r>
        <w:rPr>
          <w:color w:val="6E6158"/>
          <w:spacing w:val="38"/>
        </w:rPr>
        <w:t> </w:t>
      </w:r>
      <w:r>
        <w:rPr>
          <w:color w:val="6E6158"/>
        </w:rPr>
        <w:t>trusts,</w:t>
      </w:r>
      <w:r>
        <w:rPr>
          <w:color w:val="6E6158"/>
          <w:spacing w:val="38"/>
        </w:rPr>
        <w:t> </w:t>
      </w:r>
      <w:r>
        <w:rPr>
          <w:color w:val="6E6158"/>
        </w:rPr>
        <w:t>analyzing</w:t>
      </w:r>
      <w:r>
        <w:rPr>
          <w:color w:val="6E6158"/>
          <w:spacing w:val="38"/>
        </w:rPr>
        <w:t> </w:t>
      </w:r>
      <w:r>
        <w:rPr>
          <w:color w:val="6E6158"/>
        </w:rPr>
        <w:t>estate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gift</w:t>
      </w:r>
      <w:r>
        <w:rPr>
          <w:color w:val="6E6158"/>
          <w:spacing w:val="38"/>
        </w:rPr>
        <w:t> </w:t>
      </w:r>
      <w:r>
        <w:rPr>
          <w:color w:val="6E6158"/>
        </w:rPr>
        <w:t>taxation</w:t>
      </w:r>
    </w:p>
    <w:p>
      <w:pPr>
        <w:pStyle w:val="BodyText"/>
        <w:spacing w:line="297" w:lineRule="auto" w:before="1"/>
        <w:ind w:left="104" w:right="750"/>
        <w:jc w:val="both"/>
      </w:pPr>
      <w:r>
        <w:rPr>
          <w:color w:val="6E6158"/>
        </w:rPr>
        <w:t>matters, and advising fiduciaries and beneficiaries. Representing corporate clients, Francesca has provided legal services on business formation and succession, charitable transfers and </w:t>
      </w:r>
      <w:r>
        <w:rPr>
          <w:color w:val="6E6158"/>
        </w:rPr>
        <w:t>tax </w:t>
      </w:r>
      <w:r>
        <w:rPr>
          <w:color w:val="6E6158"/>
          <w:spacing w:val="-2"/>
        </w:rPr>
        <w:t>compliance.</w:t>
      </w:r>
    </w:p>
    <w:p>
      <w:pPr>
        <w:pStyle w:val="BodyText"/>
        <w:spacing w:line="292" w:lineRule="auto" w:before="191"/>
        <w:ind w:left="104" w:right="551"/>
      </w:pPr>
      <w:r>
        <w:rPr>
          <w:color w:val="6E6158"/>
        </w:rPr>
        <w:t>Additionally, she served as Senior Project Manager of a real estate development company,</w:t>
      </w:r>
      <w:r>
        <w:rPr>
          <w:color w:val="6E6158"/>
          <w:spacing w:val="40"/>
        </w:rPr>
        <w:t> </w:t>
      </w:r>
      <w:r>
        <w:rPr>
          <w:color w:val="6E6158"/>
        </w:rPr>
        <w:t>overseeing design, entitlement, construction, and marketing, as well as managing outside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counsel,</w:t>
      </w:r>
      <w:r>
        <w:rPr>
          <w:color w:val="6E6158"/>
          <w:spacing w:val="32"/>
        </w:rPr>
        <w:t> </w:t>
      </w:r>
      <w:r>
        <w:rPr>
          <w:color w:val="6E6158"/>
        </w:rPr>
        <w:t>financial</w:t>
      </w:r>
      <w:r>
        <w:rPr>
          <w:color w:val="6E6158"/>
          <w:spacing w:val="32"/>
        </w:rPr>
        <w:t> </w:t>
      </w:r>
      <w:r>
        <w:rPr>
          <w:color w:val="6E6158"/>
        </w:rPr>
        <w:t>advisors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lending</w:t>
      </w:r>
      <w:r>
        <w:rPr>
          <w:color w:val="6E6158"/>
          <w:spacing w:val="32"/>
        </w:rPr>
        <w:t> </w:t>
      </w:r>
      <w:r>
        <w:rPr>
          <w:color w:val="6E6158"/>
        </w:rPr>
        <w:t>institutions.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this</w:t>
      </w:r>
      <w:r>
        <w:rPr>
          <w:color w:val="6E6158"/>
          <w:spacing w:val="32"/>
        </w:rPr>
        <w:t> </w:t>
      </w:r>
      <w:r>
        <w:rPr>
          <w:color w:val="6E6158"/>
        </w:rPr>
        <w:t>role,</w:t>
      </w:r>
      <w:r>
        <w:rPr>
          <w:color w:val="6E6158"/>
          <w:spacing w:val="32"/>
        </w:rPr>
        <w:t> </w:t>
      </w:r>
      <w:r>
        <w:rPr>
          <w:color w:val="6E6158"/>
        </w:rPr>
        <w:t>she</w:t>
      </w:r>
      <w:r>
        <w:rPr>
          <w:color w:val="6E6158"/>
          <w:spacing w:val="32"/>
        </w:rPr>
        <w:t> </w:t>
      </w:r>
      <w:r>
        <w:rPr>
          <w:color w:val="6E6158"/>
        </w:rPr>
        <w:t>managed</w:t>
      </w:r>
      <w:r>
        <w:rPr>
          <w:color w:val="6E6158"/>
          <w:spacing w:val="32"/>
        </w:rPr>
        <w:t> </w:t>
      </w:r>
      <w:r>
        <w:rPr>
          <w:color w:val="6E6158"/>
        </w:rPr>
        <w:t>relationships</w:t>
      </w:r>
      <w:r>
        <w:rPr>
          <w:color w:val="6E6158"/>
          <w:spacing w:val="32"/>
        </w:rPr>
        <w:t> </w:t>
      </w:r>
      <w:r>
        <w:rPr>
          <w:color w:val="6E6158"/>
        </w:rPr>
        <w:t>with</w:t>
      </w:r>
    </w:p>
    <w:p>
      <w:pPr>
        <w:pStyle w:val="BodyText"/>
        <w:spacing w:line="292" w:lineRule="auto" w:before="10"/>
        <w:ind w:left="104" w:right="503"/>
        <w:jc w:val="both"/>
      </w:pPr>
      <w:r>
        <w:rPr>
          <w:color w:val="6E6158"/>
        </w:rPr>
        <w:t>investors, partners, city officials and the community. Francesca is also experienced in navigating California’s complex property tax rules governing change of ownership and reassessment of </w:t>
      </w:r>
      <w:r>
        <w:rPr>
          <w:color w:val="6E6158"/>
        </w:rPr>
        <w:t>real </w:t>
      </w:r>
      <w:r>
        <w:rPr>
          <w:color w:val="6E6158"/>
          <w:spacing w:val="-2"/>
        </w:rPr>
        <w:t>estate.</w:t>
      </w:r>
    </w:p>
    <w:p>
      <w:pPr>
        <w:pStyle w:val="Heading1"/>
        <w:spacing w:before="164"/>
      </w:pPr>
      <w:r>
        <w:rPr>
          <w:color w:val="FF8100"/>
          <w:spacing w:val="-2"/>
        </w:rPr>
        <w:t>EDUCATION</w:t>
      </w:r>
    </w:p>
    <w:p>
      <w:pPr>
        <w:pStyle w:val="BodyText"/>
        <w:spacing w:before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157541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4819pt;width:1.65pt;height:1.65pt;mso-position-horizontal-relative:page;mso-position-vertical-relative:paragraph;z-index:15729152" id="docshape7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San</w:t>
      </w:r>
      <w:r>
        <w:rPr>
          <w:color w:val="6E6158"/>
          <w:spacing w:val="11"/>
        </w:rPr>
        <w:t> </w:t>
      </w:r>
      <w:r>
        <w:rPr>
          <w:color w:val="6E6158"/>
        </w:rPr>
        <w:t>Francisco,</w:t>
      </w:r>
      <w:r>
        <w:rPr>
          <w:color w:val="6E6158"/>
          <w:spacing w:val="11"/>
        </w:rPr>
        <w:t> </w:t>
      </w:r>
      <w:r>
        <w:rPr>
          <w:color w:val="6E6158"/>
        </w:rPr>
        <w:t>School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line="420" w:lineRule="auto" w:before="174"/>
        <w:ind w:right="306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170190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400858pt;width:1.65pt;height:1.65pt;mso-position-horizontal-relative:page;mso-position-vertical-relative:paragraph;z-index:15729664" id="docshape8" coordorigin="1675,268" coordsize="33,33" path="m1696,301l1687,301,1683,299,1676,293,1675,289,1675,280,1676,276,1683,270,1687,268,1696,268,1699,270,1706,276,1707,280,1707,284,1707,289,1706,293,1699,299,1696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433724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51497pt;width:1.65pt;height:1.65pt;mso-position-horizontal-relative:page;mso-position-vertical-relative:paragraph;z-index:15730176" id="docshape9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M.A., California Institute of Integral Studies, Psychological </w:t>
      </w:r>
      <w:r>
        <w:rPr>
          <w:color w:val="6E6158"/>
        </w:rPr>
        <w:t>Studies</w:t>
      </w:r>
      <w:r>
        <w:rPr>
          <w:color w:val="6E6158"/>
        </w:rPr>
        <w:t> B.A., University of St. Thomas</w:t>
      </w: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7" w:lineRule="auto" w:before="147"/>
        <w:ind w:right="7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157786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4124pt;width:1.65pt;height:1.65pt;mso-position-horizontal-relative:page;mso-position-vertical-relative:paragraph;z-index:15730688" id="docshape10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416151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67868pt;width:1.65pt;height:1.65pt;mso-position-horizontal-relative:page;mso-position-vertical-relative:paragraph;z-index:15731200" id="docshape11" coordorigin="1675,655" coordsize="33,33" path="m1696,688l1687,688,1683,686,1676,680,1675,676,1675,667,1676,663,1683,657,1687,655,1696,655,1699,657,1706,663,1707,667,1707,672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Trusts</w:t>
      </w:r>
      <w:r>
        <w:rPr>
          <w:color w:val="6E6158"/>
          <w:spacing w:val="-3"/>
        </w:rPr>
        <w:t> </w:t>
      </w:r>
      <w:r>
        <w:rPr>
          <w:color w:val="6E6158"/>
        </w:rPr>
        <w:t>&amp;</w:t>
      </w:r>
      <w:r>
        <w:rPr>
          <w:color w:val="6E6158"/>
          <w:spacing w:val="-3"/>
        </w:rPr>
        <w:t> </w:t>
      </w:r>
      <w:r>
        <w:rPr>
          <w:color w:val="6E6158"/>
        </w:rPr>
        <w:t>Estates Tax Law</w:t>
      </w:r>
    </w:p>
    <w:p>
      <w:pPr>
        <w:pStyle w:val="BodyText"/>
        <w:spacing w:line="226" w:lineRule="exact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59723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4.702676pt;width:1.65pt;height:1.65pt;mso-position-horizontal-relative:page;mso-position-vertical-relative:paragraph;z-index:15731712" id="docshape12" coordorigin="1675,94" coordsize="33,33" path="m1696,127l1687,127,1683,125,1676,119,1675,115,1675,106,1676,102,1683,96,1687,94,1696,94,1699,96,1706,102,1707,106,1707,110,1707,115,1706,119,1699,125,1696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Planning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/>
        <w:ind w:right="6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250531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726898pt;width:1.65pt;height:1.65pt;mso-position-horizontal-relative:page;mso-position-vertical-relative:paragraph;z-index:15732224" id="docshape13" coordorigin="1675,395" coordsize="33,33" path="m1696,427l1687,427,1683,425,1676,419,1675,415,1675,406,1676,402,1683,396,1687,395,1696,395,1699,396,1706,402,1707,406,1707,411,1707,415,1706,419,1699,425,1696,4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Fennemore attorney Francesca Boyd with insights on preparing for upcoming </w:t>
        </w:r>
        <w:r>
          <w:rPr>
            <w:color w:val="F5821F"/>
          </w:rPr>
          <w:t>trust</w:t>
        </w:r>
      </w:hyperlink>
      <w:r>
        <w:rPr>
          <w:color w:val="F5821F"/>
        </w:rPr>
        <w:t> </w:t>
      </w:r>
      <w:hyperlink r:id="rId11">
        <w:r>
          <w:rPr>
            <w:color w:val="F5821F"/>
          </w:rPr>
          <w:t>and estate tax changes</w:t>
        </w:r>
      </w:hyperlink>
      <w:r>
        <w:rPr>
          <w:color w:val="6E6158"/>
        </w:rPr>
        <w:t>,” San Francisco Business Times, August 1, 2024</w:t>
      </w:r>
    </w:p>
    <w:p>
      <w:pPr>
        <w:pStyle w:val="BodyText"/>
        <w:spacing w:line="292" w:lineRule="auto" w:before="113"/>
        <w:ind w:right="5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224269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5904pt;width:1.65pt;height:1.65pt;mso-position-horizontal-relative:page;mso-position-vertical-relative:paragraph;z-index:15732736" id="docshape14" coordorigin="1675,353" coordsize="33,33" path="m1696,386l1687,386,1683,384,1676,378,1675,374,1675,365,1676,361,1683,355,1687,353,1696,353,1699,355,1706,361,1707,365,1707,369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“Understanding the Tax Implications of Real Property Joint Ownership Forms” CEB, Practitioner, 2023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8"/>
        <w:ind w:right="5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208621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6.426893pt;width:1.65pt;height:1.65pt;mso-position-horizontal-relative:page;mso-position-vertical-relative:paragraph;z-index:15733248" id="docshape15" coordorigin="1675,329" coordsize="33,33" path="m1696,361l1687,361,1683,359,1676,353,1675,349,1675,340,1676,336,1683,330,1687,329,1696,329,1699,330,1706,336,1707,340,1707,345,1707,349,1706,353,1699,359,1696,3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“Attorney Francesca Boyd on estate planning, advice for wealth transfer,” </w:t>
      </w:r>
      <w:r>
        <w:rPr>
          <w:color w:val="6E6158"/>
        </w:rPr>
        <w:t>San Francisco Business Times, April 17, 2023</w:t>
      </w:r>
    </w:p>
    <w:p>
      <w:pPr>
        <w:pStyle w:val="BodyText"/>
        <w:spacing w:line="292" w:lineRule="auto" w:before="132"/>
        <w:ind w:right="5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7742pt;width:1.65pt;height:1.65pt;mso-position-horizontal-relative:page;mso-position-vertical-relative:paragraph;z-index:15733760" id="docshape16" coordorigin="1675,372" coordsize="33,33" path="m1696,405l1687,405,1683,403,1676,397,1675,393,1675,384,1676,380,1683,374,1687,372,1696,372,1699,374,1706,380,1707,384,1707,388,1707,393,1706,397,1699,403,1696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2">
        <w:r>
          <w:rPr>
            <w:color w:val="F5821F"/>
          </w:rPr>
          <w:t>Interview, “Take One Day at a Time and Trust Yourself To Make the Right Decision In The</w:t>
        </w:r>
      </w:hyperlink>
      <w:r>
        <w:rPr>
          <w:color w:val="F5821F"/>
        </w:rPr>
        <w:t> </w:t>
      </w:r>
      <w:hyperlink r:id="rId12">
        <w:r>
          <w:rPr>
            <w:color w:val="F5821F"/>
          </w:rPr>
          <w:t>Moment,” Fennemore Blog, September 15, 2022</w:t>
        </w:r>
      </w:hyperlink>
    </w:p>
    <w:p>
      <w:pPr>
        <w:pStyle w:val="BodyText"/>
        <w:spacing w:line="292" w:lineRule="auto" w:before="123"/>
        <w:ind w:right="5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1715pt;width:1.65pt;height:1.65pt;mso-position-horizontal-relative:page;mso-position-vertical-relative:paragraph;z-index:15734272" id="docshape17" coordorigin="1675,363" coordsize="33,33" path="m1696,396l1687,396,1683,394,1676,388,1675,384,1675,375,1676,371,1683,365,1687,363,1696,363,1699,365,1706,371,1707,375,1707,380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“Intentionally Defective Grantor Trust: Income Tax Issues,” Wendel Rosen LLP, October 21, 2021</w:t>
      </w:r>
    </w:p>
    <w:p>
      <w:pPr>
        <w:pStyle w:val="Heading1"/>
        <w:spacing w:before="17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152419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001547pt;width:1.65pt;height:1.65pt;mso-position-horizontal-relative:page;mso-position-vertical-relative:paragraph;z-index:15734784" id="docshape18" coordorigin="1675,240" coordsize="33,33" path="m1696,273l1687,273,1683,271,1676,265,1675,261,1675,252,1676,248,1683,242,1687,240,1696,240,1699,242,1706,248,1707,252,1707,256,1707,261,1706,265,1699,271,1696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California</w:t>
      </w:r>
      <w:r>
        <w:rPr>
          <w:color w:val="6E6158"/>
          <w:spacing w:val="12"/>
        </w:rPr>
        <w:t> </w:t>
      </w:r>
      <w:r>
        <w:rPr>
          <w:color w:val="6E6158"/>
        </w:rPr>
        <w:t>Lawyer’s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Association</w:t>
      </w:r>
    </w:p>
    <w:p>
      <w:pPr>
        <w:pStyle w:val="BodyText"/>
        <w:spacing w:line="420" w:lineRule="auto" w:before="174"/>
        <w:ind w:right="39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175316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04464pt;width:1.65pt;height:1.65pt;mso-position-horizontal-relative:page;mso-position-vertical-relative:paragraph;z-index:15735296" id="docshape19" coordorigin="1675,276" coordsize="33,33" path="m1696,309l1687,309,1683,307,1676,301,1675,297,1675,288,1676,284,1683,278,1687,276,1696,276,1699,278,1706,284,1707,288,1707,292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433682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148216pt;width:1.65pt;height:1.65pt;mso-position-horizontal-relative:page;mso-position-vertical-relative:paragraph;z-index:15735808" id="docshape20" coordorigin="1675,683" coordsize="33,33" path="m1696,716l1687,716,1683,714,1676,708,1675,704,1675,695,1676,691,1683,685,1687,683,1696,683,1699,685,1706,691,1707,695,1707,699,1707,704,1706,708,1699,714,1696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Vice President, East Bay Trusts and Estates </w:t>
      </w:r>
      <w:r>
        <w:rPr>
          <w:color w:val="6E6158"/>
        </w:rPr>
        <w:t>Lawyers Member, California State Bar</w:t>
      </w:r>
    </w:p>
    <w:p>
      <w:pPr>
        <w:pStyle w:val="Heading1"/>
        <w:ind w:left="56" w:right="8090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55"/>
        <w:ind w:left="0" w:right="8090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157744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0855pt;width:1.65pt;height:1.65pt;mso-position-horizontal-relative:page;mso-position-vertical-relative:paragraph;z-index:15736320" id="docshape21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California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46"/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0"/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fboyd@fennemorelaw.com" TargetMode="External"/><Relationship Id="rId11" Type="http://schemas.openxmlformats.org/officeDocument/2006/relationships/hyperlink" Target="https://www.bizjournals.com/sanfrancisco/news/2024/08/01/fennemore-francesca-boyd-trust-estate-tax-changes.html" TargetMode="External"/><Relationship Id="rId12" Type="http://schemas.openxmlformats.org/officeDocument/2006/relationships/hyperlink" Target="https://www.fennemorelaw.com/take-one-day-at-a-time-and-trust-yourself-to-make-the-right-decisions-in-the-momen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2025-09-04T22:19:47Z</dcterms:created>
  <dcterms:modified xsi:type="dcterms:W3CDTF">2025-09-04T22:19:47Z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2025-09-04T00:00:00Z</vt:filetime>
  </property>
  <property fmtid="{D5CDD505-2E9C-101B-9397-08002B2CF9AE}" pid="5" name="Producer">
    <vt:lpwstr>Skia/PDF m117</vt:lpwstr>
  </property>
</Properties>
</file>