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05070" y="763308"/>
                            <a:ext cx="11023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LYNDSEY MAASCH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lmaasch@fennemorelaw.com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13636" y="3756030"/>
                            <a:ext cx="20554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heels,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head,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standards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Coco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773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LYNDSEY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MAASCH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48;top:1762;width:1736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LYNDSEY MAASCH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lmaasch@fennemorelaw.com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512;top:6475;width:323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heels,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head,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standards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Coco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Chanel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169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LYNDSEY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MAASCH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/>
        <w:ind w:left="104" w:right="353"/>
        <w:jc w:val="both"/>
      </w:pPr>
      <w:r>
        <w:rPr>
          <w:color w:val="6E6158"/>
        </w:rPr>
        <w:t>Lyndsey Maasch is an associate attorney who works in our business litigation practice group in our Phoenix office. Her work encompasses a broad range of dispute prevention and resolution matters as well as healthcare law.</w:t>
      </w:r>
    </w:p>
    <w:p>
      <w:pPr>
        <w:pStyle w:val="BodyText"/>
        <w:spacing w:line="297" w:lineRule="auto" w:before="191"/>
        <w:ind w:left="104" w:right="403"/>
      </w:pPr>
      <w:r>
        <w:rPr>
          <w:color w:val="6E6158"/>
        </w:rPr>
        <w:t>Originally from Wisconsin, with attorneys in her family and her mom working as a court reporter,</w:t>
      </w:r>
      <w:r>
        <w:rPr>
          <w:color w:val="6E6158"/>
          <w:spacing w:val="40"/>
        </w:rPr>
        <w:t> </w:t>
      </w:r>
      <w:r>
        <w:rPr>
          <w:color w:val="6E6158"/>
        </w:rPr>
        <w:t>Lyndsey grew up talking about legal issues at the dinner table. She knew from an early age that</w:t>
      </w:r>
      <w:r>
        <w:rPr>
          <w:color w:val="6E6158"/>
          <w:spacing w:val="40"/>
        </w:rPr>
        <w:t> </w:t>
      </w:r>
      <w:r>
        <w:rPr>
          <w:color w:val="6E6158"/>
        </w:rPr>
        <w:t>she was destined for law school – not only to become a lawyer, but for the sheer love of</w:t>
      </w:r>
    </w:p>
    <w:p>
      <w:pPr>
        <w:pStyle w:val="BodyText"/>
        <w:spacing w:line="229" w:lineRule="exact"/>
        <w:ind w:left="104"/>
      </w:pPr>
      <w:r>
        <w:rPr>
          <w:color w:val="6E6158"/>
        </w:rPr>
        <w:t>learning.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this</w:t>
      </w:r>
      <w:r>
        <w:rPr>
          <w:color w:val="6E6158"/>
          <w:spacing w:val="12"/>
        </w:rPr>
        <w:t> </w:t>
      </w:r>
      <w:r>
        <w:rPr>
          <w:color w:val="6E6158"/>
        </w:rPr>
        <w:t>passion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knowledge</w:t>
      </w:r>
      <w:r>
        <w:rPr>
          <w:color w:val="6E6158"/>
          <w:spacing w:val="12"/>
        </w:rPr>
        <w:t> </w:t>
      </w:r>
      <w:r>
        <w:rPr>
          <w:color w:val="6E6158"/>
        </w:rPr>
        <w:t>means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Lyndsey</w:t>
      </w:r>
      <w:r>
        <w:rPr>
          <w:color w:val="6E6158"/>
          <w:spacing w:val="12"/>
        </w:rPr>
        <w:t> </w:t>
      </w:r>
      <w:r>
        <w:rPr>
          <w:color w:val="6E6158"/>
        </w:rPr>
        <w:t>makes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clients’</w:t>
      </w:r>
    </w:p>
    <w:p>
      <w:pPr>
        <w:pStyle w:val="BodyText"/>
        <w:spacing w:line="292" w:lineRule="auto" w:before="52"/>
        <w:ind w:left="104" w:right="403"/>
      </w:pPr>
      <w:r>
        <w:rPr>
          <w:color w:val="6E6158"/>
        </w:rPr>
        <w:t>complex problems her own. She takes great pride in going the extra mile and always </w:t>
      </w:r>
      <w:r>
        <w:rPr>
          <w:color w:val="6E6158"/>
        </w:rPr>
        <w:t>delivering</w:t>
      </w:r>
      <w:r>
        <w:rPr>
          <w:color w:val="6E6158"/>
          <w:spacing w:val="40"/>
        </w:rPr>
        <w:t> </w:t>
      </w:r>
      <w:r>
        <w:rPr>
          <w:color w:val="6E6158"/>
        </w:rPr>
        <w:t>the best service available; above and beyond expectations.</w:t>
      </w:r>
    </w:p>
    <w:p>
      <w:pPr>
        <w:pStyle w:val="BodyText"/>
        <w:spacing w:line="292" w:lineRule="auto" w:before="205"/>
        <w:ind w:left="104" w:right="403"/>
      </w:pPr>
      <w:r>
        <w:rPr>
          <w:color w:val="6E6158"/>
        </w:rPr>
        <w:t>Lyndsey is a dedicated member of the Auxiliary Board of the Fresh Start Women’s Foundation,</w:t>
      </w:r>
      <w:r>
        <w:rPr>
          <w:color w:val="6E6158"/>
          <w:spacing w:val="40"/>
        </w:rPr>
        <w:t> </w:t>
      </w:r>
      <w:r>
        <w:rPr>
          <w:color w:val="6E6158"/>
        </w:rPr>
        <w:t>and spends her time outside of the office furthering the organization’s mission of empowering</w:t>
      </w:r>
      <w:r>
        <w:rPr>
          <w:color w:val="6E6158"/>
          <w:spacing w:val="40"/>
        </w:rPr>
        <w:t> </w:t>
      </w:r>
      <w:r>
        <w:rPr>
          <w:color w:val="6E6158"/>
        </w:rPr>
        <w:t>women to succeed. She recharges her batteries by spending time with her two daughters,</w:t>
      </w:r>
      <w:r>
        <w:rPr>
          <w:color w:val="6E6158"/>
          <w:spacing w:val="40"/>
        </w:rPr>
        <w:t> </w:t>
      </w:r>
      <w:r>
        <w:rPr>
          <w:color w:val="6E6158"/>
        </w:rPr>
        <w:t>Tatum and Baker.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6"/>
        <w:ind w:left="356" w:right="5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152395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9669pt;width:1.65pt;height:1.65pt;mso-position-horizontal-relative:page;mso-position-vertical-relative:paragraph;z-index:15729152" id="docshape13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415928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0309pt;width:1.65pt;height:1.65pt;mso-position-horizontal-relative:page;mso-position-vertical-relative:paragraph;z-index:15729664" id="docshape14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magna cum laude, </w:t>
      </w:r>
      <w:r>
        <w:rPr>
          <w:color w:val="6E6158"/>
        </w:rPr>
        <w:t>Arizona State University, Sandra Day O’Connor College of Law B.A., Political Science and Legal Studies, University of Wisconsin-Madison</w:t>
      </w:r>
    </w:p>
    <w:p>
      <w:pPr>
        <w:pStyle w:val="Heading1"/>
        <w:spacing w:before="17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left="356" w:right="6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158058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5543pt;width:1.65pt;height:1.65pt;mso-position-horizontal-relative:page;mso-position-vertical-relative:paragraph;z-index:15730176" id="docshape15" coordorigin="1675,249" coordsize="33,33" path="m1696,281l1687,281,1683,280,1676,274,1675,270,1675,261,1676,257,1683,250,1687,249,1696,249,1699,250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416423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9288pt;width:1.65pt;height:1.65pt;mso-position-horizontal-relative:page;mso-position-vertical-relative:paragraph;z-index:15730688" id="docshape16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4pt;width:1.65pt;height:1.65pt;mso-position-horizontal-relative:page;mso-position-vertical-relative:paragraph;z-index:15731200" id="docshape17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Seven Significant Differences Between Arizona and Federal Civil Procedure in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2024</w:t>
        </w:r>
      </w:hyperlink>
      <w:r>
        <w:rPr>
          <w:color w:val="6E6158"/>
        </w:rPr>
        <w:t>,” Fennemore Blog, June 20, 2024</w:t>
      </w:r>
    </w:p>
    <w:p>
      <w:pPr>
        <w:pStyle w:val="BodyText"/>
        <w:spacing w:line="292" w:lineRule="auto" w:before="131"/>
        <w:ind w:left="356"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235900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850pt;width:1.65pt;height:1.65pt;mso-position-horizontal-relative:page;mso-position-vertical-relative:paragraph;z-index:15731712" id="docshape1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“OSHA Issues Emergency Temporary Standard for Health Care Employers,”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Fennemore Client Alert, July 8, 2021</w:t>
        </w:r>
      </w:hyperlink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168040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31557pt;width:1.65pt;height:1.65pt;mso-position-horizontal-relative:page;mso-position-vertical-relative:paragraph;z-index:15732224" id="docshape19" coordorigin="1675,265" coordsize="33,33" path="m1696,297l1687,297,1683,296,1676,289,1675,285,1675,276,1676,273,1683,266,1687,265,1696,265,1699,266,1706,273,1707,276,1707,281,1707,285,1706,289,1699,296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152692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2999pt;width:1.65pt;height:1.65pt;mso-position-horizontal-relative:page;mso-position-vertical-relative:paragraph;z-index:15732736" id="docshape20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Auxiliary</w:t>
      </w:r>
      <w:r>
        <w:rPr>
          <w:color w:val="6E6158"/>
          <w:spacing w:val="9"/>
        </w:rPr>
        <w:t> </w:t>
      </w:r>
      <w:r>
        <w:rPr>
          <w:color w:val="6E6158"/>
        </w:rPr>
        <w:t>Board,</w:t>
      </w:r>
      <w:r>
        <w:rPr>
          <w:color w:val="6E6158"/>
          <w:spacing w:val="8"/>
        </w:rPr>
        <w:t> </w:t>
      </w:r>
      <w:r>
        <w:rPr>
          <w:color w:val="6E6158"/>
        </w:rPr>
        <w:t>Fresh</w:t>
      </w:r>
      <w:r>
        <w:rPr>
          <w:color w:val="6E6158"/>
          <w:spacing w:val="9"/>
        </w:rPr>
        <w:t> </w:t>
      </w:r>
      <w:r>
        <w:rPr>
          <w:color w:val="6E6158"/>
        </w:rPr>
        <w:t>Start</w:t>
      </w:r>
      <w:r>
        <w:rPr>
          <w:color w:val="6E6158"/>
          <w:spacing w:val="9"/>
        </w:rPr>
        <w:t> </w:t>
      </w:r>
      <w:r>
        <w:rPr>
          <w:color w:val="6E6158"/>
        </w:rPr>
        <w:t>Women’s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157592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8885pt;width:1.65pt;height:1.65pt;mso-position-horizontal-relative:page;mso-position-vertical-relative:paragraph;z-index:15733248" id="docshape2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175322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493pt;width:1.65pt;height:1.65pt;mso-position-horizontal-relative:page;mso-position-vertical-relative:paragraph;z-index:15733760" id="docshape2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0973pt;width:1.65pt;height:1.65pt;mso-position-horizontal-relative:page;mso-position-vertical-relative:paragraph;z-index:15734272" id="docshape23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maasch@fennemorelaw.com" TargetMode="External"/><Relationship Id="rId11" Type="http://schemas.openxmlformats.org/officeDocument/2006/relationships/hyperlink" Target="https://www.fennemorelaw.com/seven-significant-differences-between-arizona-and-federal-civil-procedure-in-2024/" TargetMode="External"/><Relationship Id="rId12" Type="http://schemas.openxmlformats.org/officeDocument/2006/relationships/hyperlink" Target="https://www.fennemorelaw.com/insights/newsletters/2021/osha-issues-emergency-temporary-standard-for-health-care-employer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2025-09-04T15:56:09Z</dcterms:created>
  <dcterms:modified xsi:type="dcterms:W3CDTF">2025-09-04T15:56:09Z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m117</vt:lpwstr>
  </property>
</Properties>
</file>