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6379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637915"/>
                          <a:chExt cx="6066790" cy="36379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3690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369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369310">
                                <a:moveTo>
                                  <a:pt x="3033212" y="3369087"/>
                                </a:moveTo>
                                <a:lnTo>
                                  <a:pt x="0" y="336908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369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011287" y="763308"/>
                            <a:ext cx="109029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hanging="1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MARK A. 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39"/>
                                </w:rPr>
                                <w:t>HAWKINS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01464" y="2133494"/>
                            <a:ext cx="50990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Las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Vegas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702.692.8012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702.692.8072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419505" y="2603719"/>
                            <a:ext cx="27368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4"/>
                                    <w:sz w:val="16"/>
                                  </w:rPr>
                                  <w:t>Reno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578444" y="2763876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702.692.8012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746902" y="2763876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702.692.8072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762610" y="2975766"/>
                            <a:ext cx="15875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1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mhawkins@fennemorelaw.com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86.45pt;mso-position-horizontal-relative:page;mso-position-vertical-relative:page;z-index:15728640" id="docshapegroup1" coordorigin="1341,560" coordsize="9554,5729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5306" type="#_x0000_t75" id="docshape3" stroked="false">
                  <v:imagedata r:id="rId7" o:title=""/>
                </v:shape>
                <v:rect style="position:absolute;left:6117;top:983;width:4777;height:5306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658;top:1762;width:1717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hanging="1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MARK A. </w:t>
                        </w:r>
                        <w:r>
                          <w:rPr>
                            <w:color w:val="FFFFFF"/>
                            <w:spacing w:val="-7"/>
                            <w:sz w:val="39"/>
                          </w:rPr>
                          <w:t>HAWKINS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15;top:3919;width:803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Las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Vegas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702.692.8012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702.692.8072</w:t>
                        </w:r>
                      </w:p>
                    </w:txbxContent>
                  </v:textbox>
                  <w10:wrap type="none"/>
                </v:shape>
                <v:shape style="position:absolute;left:8301;top:4660;width:431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>Reno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912;width:1258;height:210" type="#_x0000_t202" id="docshape1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702.692.8012</w:t>
                        </w:r>
                      </w:p>
                    </w:txbxContent>
                  </v:textbox>
                  <w10:wrap type="none"/>
                </v:shape>
                <v:shape style="position:absolute;left:8816;top:4912;width:1240;height:210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702.692.8072</w:t>
                        </w:r>
                      </w:p>
                    </w:txbxContent>
                  </v:textbox>
                  <w10:wrap type="none"/>
                </v:shape>
                <v:shape style="position:absolute;left:7266;top:5246;width:2500;height:200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1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mhawkins@fennemorelaw.com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41"/>
        <w:rPr>
          <w:rFonts w:ascii="Times New Roman"/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MARK</w:t>
      </w:r>
      <w:r>
        <w:rPr>
          <w:b/>
          <w:color w:val="002E6B"/>
          <w:spacing w:val="5"/>
          <w:sz w:val="24"/>
        </w:rPr>
        <w:t> </w:t>
      </w:r>
      <w:r>
        <w:rPr>
          <w:b/>
          <w:color w:val="002E6B"/>
          <w:sz w:val="24"/>
        </w:rPr>
        <w:t>A.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pacing w:val="-2"/>
          <w:sz w:val="24"/>
        </w:rPr>
        <w:t>HAWKINS</w:t>
      </w:r>
    </w:p>
    <w:p>
      <w:pPr>
        <w:pStyle w:val="BodyText"/>
        <w:spacing w:line="295" w:lineRule="auto" w:before="147"/>
        <w:ind w:left="104" w:right="328"/>
      </w:pPr>
      <w:r>
        <w:rPr>
          <w:color w:val="6E6158"/>
        </w:rPr>
        <w:t>Mark practices in the areas of commercial real estate and corporate transactions, including</w:t>
      </w:r>
      <w:r>
        <w:rPr>
          <w:color w:val="6E6158"/>
          <w:spacing w:val="40"/>
        </w:rPr>
        <w:t> </w:t>
      </w:r>
      <w:r>
        <w:rPr>
          <w:color w:val="6E6158"/>
        </w:rPr>
        <w:t>business and entity planning, formation and governance. His practice includes negotiation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preparation of purchases and sales of commercial real estate agreements, leasing, business</w:t>
      </w:r>
      <w:r>
        <w:rPr>
          <w:color w:val="6E6158"/>
          <w:spacing w:val="40"/>
        </w:rPr>
        <w:t> </w:t>
      </w:r>
      <w:r>
        <w:rPr>
          <w:color w:val="6E6158"/>
        </w:rPr>
        <w:t>acquisitions and general business contracts.</w:t>
      </w:r>
    </w:p>
    <w:p>
      <w:pPr>
        <w:pStyle w:val="BodyText"/>
        <w:spacing w:line="292" w:lineRule="auto" w:before="197"/>
        <w:ind w:left="104" w:right="328"/>
      </w:pPr>
      <w:r>
        <w:rPr>
          <w:color w:val="6E6158"/>
        </w:rPr>
        <w:t>Mark has worked on various multi-million dollar commercial developments, real estate </w:t>
      </w:r>
      <w:r>
        <w:rPr>
          <w:color w:val="6E6158"/>
        </w:rPr>
        <w:t>purchase</w:t>
      </w:r>
      <w:r>
        <w:rPr>
          <w:color w:val="6E6158"/>
          <w:spacing w:val="40"/>
        </w:rPr>
        <w:t> </w:t>
      </w:r>
      <w:r>
        <w:rPr>
          <w:color w:val="6E6158"/>
        </w:rPr>
        <w:t>and sales and financing transactions. He also has experience representing local and regional</w:t>
      </w:r>
      <w:r>
        <w:rPr>
          <w:color w:val="6E6158"/>
          <w:spacing w:val="40"/>
        </w:rPr>
        <w:t> </w:t>
      </w:r>
      <w:r>
        <w:rPr>
          <w:color w:val="6E6158"/>
        </w:rPr>
        <w:t>banking</w:t>
      </w:r>
      <w:r>
        <w:rPr>
          <w:color w:val="6E6158"/>
          <w:spacing w:val="32"/>
        </w:rPr>
        <w:t> </w:t>
      </w:r>
      <w:r>
        <w:rPr>
          <w:color w:val="6E6158"/>
        </w:rPr>
        <w:t>institutions</w:t>
      </w:r>
      <w:r>
        <w:rPr>
          <w:color w:val="6E6158"/>
          <w:spacing w:val="32"/>
        </w:rPr>
        <w:t> </w:t>
      </w:r>
      <w:r>
        <w:rPr>
          <w:color w:val="6E6158"/>
        </w:rPr>
        <w:t>in</w:t>
      </w:r>
      <w:r>
        <w:rPr>
          <w:color w:val="6E6158"/>
          <w:spacing w:val="32"/>
        </w:rPr>
        <w:t> </w:t>
      </w:r>
      <w:r>
        <w:rPr>
          <w:color w:val="6E6158"/>
        </w:rPr>
        <w:t>all</w:t>
      </w:r>
      <w:r>
        <w:rPr>
          <w:color w:val="6E6158"/>
          <w:spacing w:val="32"/>
        </w:rPr>
        <w:t> </w:t>
      </w:r>
      <w:r>
        <w:rPr>
          <w:color w:val="6E6158"/>
        </w:rPr>
        <w:t>stages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lending,</w:t>
      </w:r>
      <w:r>
        <w:rPr>
          <w:color w:val="6E6158"/>
          <w:spacing w:val="32"/>
        </w:rPr>
        <w:t> </w:t>
      </w:r>
      <w:r>
        <w:rPr>
          <w:color w:val="6E6158"/>
        </w:rPr>
        <w:t>from</w:t>
      </w:r>
      <w:r>
        <w:rPr>
          <w:color w:val="6E6158"/>
          <w:spacing w:val="32"/>
        </w:rPr>
        <w:t> </w:t>
      </w:r>
      <w:r>
        <w:rPr>
          <w:color w:val="6E6158"/>
        </w:rPr>
        <w:t>loan</w:t>
      </w:r>
      <w:r>
        <w:rPr>
          <w:color w:val="6E6158"/>
          <w:spacing w:val="32"/>
        </w:rPr>
        <w:t> </w:t>
      </w:r>
      <w:r>
        <w:rPr>
          <w:color w:val="6E6158"/>
        </w:rPr>
        <w:t>origination</w:t>
      </w:r>
      <w:r>
        <w:rPr>
          <w:color w:val="6E6158"/>
          <w:spacing w:val="32"/>
        </w:rPr>
        <w:t> </w:t>
      </w:r>
      <w:r>
        <w:rPr>
          <w:color w:val="6E6158"/>
        </w:rPr>
        <w:t>through</w:t>
      </w:r>
      <w:r>
        <w:rPr>
          <w:color w:val="6E6158"/>
          <w:spacing w:val="32"/>
        </w:rPr>
        <w:t> </w:t>
      </w:r>
      <w:r>
        <w:rPr>
          <w:color w:val="6E6158"/>
        </w:rPr>
        <w:t>workout</w:t>
      </w:r>
      <w:r>
        <w:rPr>
          <w:color w:val="6E6158"/>
          <w:spacing w:val="32"/>
        </w:rPr>
        <w:t> </w:t>
      </w:r>
      <w:r>
        <w:rPr>
          <w:color w:val="6E6158"/>
        </w:rPr>
        <w:t>resolutions.</w:t>
      </w:r>
    </w:p>
    <w:p>
      <w:pPr>
        <w:pStyle w:val="BodyText"/>
        <w:spacing w:line="292" w:lineRule="auto" w:before="205"/>
        <w:ind w:left="104" w:right="464"/>
      </w:pPr>
      <w:r>
        <w:rPr>
          <w:color w:val="6E6158"/>
        </w:rPr>
        <w:t>Mark enjoys problem-solving, which is why law was so attractive to him. He appreciates the</w:t>
      </w:r>
      <w:r>
        <w:rPr>
          <w:color w:val="6E6158"/>
          <w:spacing w:val="40"/>
        </w:rPr>
        <w:t> </w:t>
      </w:r>
      <w:r>
        <w:rPr>
          <w:color w:val="6E6158"/>
        </w:rPr>
        <w:t>relationship he has with his clients, and the process of working together to help them achieve</w:t>
      </w:r>
      <w:r>
        <w:rPr>
          <w:color w:val="6E6158"/>
          <w:spacing w:val="40"/>
        </w:rPr>
        <w:t> </w:t>
      </w:r>
      <w:r>
        <w:rPr>
          <w:color w:val="6E6158"/>
        </w:rPr>
        <w:t>their goals.</w:t>
      </w:r>
    </w:p>
    <w:p>
      <w:pPr>
        <w:pStyle w:val="BodyText"/>
        <w:spacing w:line="292" w:lineRule="auto" w:before="205"/>
        <w:ind w:left="104" w:right="328"/>
      </w:pPr>
      <w:r>
        <w:rPr>
          <w:color w:val="6E6158"/>
        </w:rPr>
        <w:t>On weekends, Mark coaches his children’s teams and drives his daughters to dance </w:t>
      </w:r>
      <w:r>
        <w:rPr>
          <w:color w:val="6E6158"/>
        </w:rPr>
        <w:t>practice,</w:t>
      </w:r>
      <w:r>
        <w:rPr>
          <w:color w:val="6E6158"/>
          <w:spacing w:val="40"/>
        </w:rPr>
        <w:t> </w:t>
      </w:r>
      <w:r>
        <w:rPr>
          <w:color w:val="6E6158"/>
        </w:rPr>
        <w:t>and occasionally sneaks away for a round of golf.</w:t>
      </w:r>
    </w:p>
    <w:p>
      <w:pPr>
        <w:pStyle w:val="Heading2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before="136"/>
        <w:ind w:left="35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157637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2397pt;width:1.65pt;height:1.65pt;mso-position-horizontal-relative:page;mso-position-vertical-relative:paragraph;z-index:15729152" id="docshape14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1"/>
        </w:rPr>
        <w:t> </w:t>
      </w:r>
      <w:r>
        <w:rPr>
          <w:color w:val="6E6158"/>
        </w:rPr>
        <w:t>Southern</w:t>
      </w:r>
      <w:r>
        <w:rPr>
          <w:color w:val="6E6158"/>
          <w:spacing w:val="11"/>
        </w:rPr>
        <w:t> </w:t>
      </w:r>
      <w:r>
        <w:rPr>
          <w:color w:val="6E6158"/>
        </w:rPr>
        <w:t>Methodist</w:t>
      </w:r>
      <w:r>
        <w:rPr>
          <w:color w:val="6E6158"/>
          <w:spacing w:val="11"/>
        </w:rPr>
        <w:t> </w:t>
      </w:r>
      <w:r>
        <w:rPr>
          <w:color w:val="6E6158"/>
        </w:rPr>
        <w:t>University,</w:t>
      </w:r>
      <w:r>
        <w:rPr>
          <w:color w:val="6E6158"/>
          <w:spacing w:val="11"/>
        </w:rPr>
        <w:t> </w:t>
      </w:r>
      <w:r>
        <w:rPr>
          <w:color w:val="6E6158"/>
        </w:rPr>
        <w:t>Dedman</w:t>
      </w:r>
      <w:r>
        <w:rPr>
          <w:color w:val="6E6158"/>
          <w:spacing w:val="12"/>
        </w:rPr>
        <w:t> </w:t>
      </w:r>
      <w:r>
        <w:rPr>
          <w:color w:val="6E6158"/>
        </w:rPr>
        <w:t>School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Law,</w:t>
      </w:r>
      <w:r>
        <w:rPr>
          <w:color w:val="6E6158"/>
          <w:spacing w:val="12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8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7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173931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5398pt;width:1.65pt;height:1.65pt;mso-position-horizontal-relative:page;mso-position-vertical-relative:paragraph;z-index:15729664" id="docshape15" coordorigin="1675,274" coordsize="33,33" path="m1696,306l1687,306,1683,305,1676,299,1675,295,1675,286,1676,282,1683,275,1687,274,1696,274,1699,275,1706,282,1707,286,1707,290,1707,295,1706,299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6"/>
        </w:rPr>
        <w:t> </w:t>
      </w:r>
      <w:r>
        <w:rPr>
          <w:color w:val="6E6158"/>
        </w:rPr>
        <w:t>Brigham</w:t>
      </w:r>
      <w:r>
        <w:rPr>
          <w:color w:val="6E6158"/>
          <w:spacing w:val="6"/>
        </w:rPr>
        <w:t> </w:t>
      </w:r>
      <w:r>
        <w:rPr>
          <w:color w:val="6E6158"/>
        </w:rPr>
        <w:t>Young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49"/>
        <w:rPr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FF8100"/>
          <w:sz w:val="24"/>
        </w:rPr>
        <w:t>AREAS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z w:val="24"/>
        </w:rPr>
        <w:t>OF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pacing w:val="-2"/>
          <w:sz w:val="24"/>
        </w:rPr>
        <w:t>PRACTICE</w:t>
      </w:r>
    </w:p>
    <w:p>
      <w:pPr>
        <w:pStyle w:val="Heading1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43"/>
        <w:rPr>
          <w:b/>
        </w:rPr>
      </w:pPr>
    </w:p>
    <w:p>
      <w:pPr>
        <w:pStyle w:val="BodyText"/>
        <w:spacing w:before="1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65041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21372pt;width:1.65pt;height:1.65pt;mso-position-horizontal-relative:page;mso-position-vertical-relative:paragraph;z-index:15730176" id="docshape16" coordorigin="1675,102" coordsize="33,33" path="m1696,135l1687,135,1683,133,1676,127,1675,123,1675,114,1676,110,1683,104,1687,102,1696,102,1699,104,1706,110,1707,114,1707,119,1707,123,1706,127,1699,133,1696,1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Asia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Practice</w:t>
      </w:r>
    </w:p>
    <w:p>
      <w:pPr>
        <w:pStyle w:val="BodyText"/>
        <w:spacing w:line="420" w:lineRule="auto" w:before="182"/>
        <w:ind w:left="356" w:right="58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174846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741pt;width:1.65pt;height:1.65pt;mso-position-horizontal-relative:page;mso-position-vertical-relative:paragraph;z-index:15730688" id="docshape17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433211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1176pt;width:1.65pt;height:1.65pt;mso-position-horizontal-relative:page;mso-position-vertical-relative:paragraph;z-index:15731200" id="docshape18" coordorigin="1675,682" coordsize="33,33" path="m1696,715l1687,715,1683,713,1676,707,1675,703,1675,694,1676,690,1683,684,1687,682,1696,682,1699,684,1706,690,1707,694,1707,698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Restaurant and Food </w:t>
      </w:r>
      <w:r>
        <w:rPr>
          <w:color w:val="6E6158"/>
        </w:rPr>
        <w:t>Services Real Estate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63434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4824pt;width:1.65pt;height:1.65pt;mso-position-horizontal-relative:page;mso-position-vertical-relative:paragraph;z-index:15731712" id="docshape19" coordorigin="1675,100" coordsize="33,33" path="m1696,132l1687,132,1683,131,1676,125,1675,121,1675,112,1676,108,1683,101,1687,100,1696,100,1699,101,1706,108,1707,112,1707,116,1707,121,1706,125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Finance</w:t>
      </w:r>
    </w:p>
    <w:p>
      <w:pPr>
        <w:pStyle w:val="BodyText"/>
        <w:spacing w:after="0" w:line="231" w:lineRule="exact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420" w:lineRule="auto" w:before="88"/>
        <w:ind w:left="356" w:right="49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2224" id="docshape20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379142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767pt;width:1.65pt;height:1.65pt;mso-position-horizontal-relative:page;mso-position-vertical-relative:paragraph;z-index:15732736" id="docshape21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Emerging Businesses &amp; </w:t>
      </w:r>
      <w:r>
        <w:rPr>
          <w:color w:val="6E6158"/>
        </w:rPr>
        <w:t>Technologies Financial Restructuring</w:t>
      </w:r>
    </w:p>
    <w:p>
      <w:pPr>
        <w:pStyle w:val="BodyText"/>
        <w:spacing w:before="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63887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549pt;width:1.65pt;height:1.65pt;mso-position-horizontal-relative:page;mso-position-vertical-relative:paragraph;z-index:15733248" id="docshape22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Mergers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Acquisitions</w:t>
      </w:r>
    </w:p>
    <w:p>
      <w:pPr>
        <w:pStyle w:val="Heading2"/>
        <w:spacing w:before="213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157812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62pt;width:1.65pt;height:1.65pt;mso-position-horizontal-relative:page;mso-position-vertical-relative:paragraph;z-index:15733760" id="docshape23" coordorigin="1675,249" coordsize="33,33" path="m1696,281l1687,281,1683,279,1676,273,1675,269,1675,260,1676,256,1683,250,1687,249,1696,249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Counseled</w:t>
      </w:r>
      <w:r>
        <w:rPr>
          <w:color w:val="6E6158"/>
          <w:spacing w:val="14"/>
        </w:rPr>
        <w:t> </w:t>
      </w:r>
      <w:r>
        <w:rPr>
          <w:color w:val="6E6158"/>
        </w:rPr>
        <w:t>corporate</w:t>
      </w:r>
      <w:r>
        <w:rPr>
          <w:color w:val="6E6158"/>
          <w:spacing w:val="14"/>
        </w:rPr>
        <w:t> </w:t>
      </w:r>
      <w:r>
        <w:rPr>
          <w:color w:val="6E6158"/>
        </w:rPr>
        <w:t>guarantor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$4.25</w:t>
      </w:r>
      <w:r>
        <w:rPr>
          <w:color w:val="6E6158"/>
          <w:spacing w:val="15"/>
        </w:rPr>
        <w:t> </w:t>
      </w:r>
      <w:r>
        <w:rPr>
          <w:color w:val="6E6158"/>
        </w:rPr>
        <w:t>billion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loan.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174907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2245pt;width:1.65pt;height:1.65pt;mso-position-horizontal-relative:page;mso-position-vertical-relative:paragraph;z-index:15734272" id="docshape24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Advised</w:t>
      </w:r>
      <w:r>
        <w:rPr>
          <w:color w:val="6E6158"/>
          <w:spacing w:val="11"/>
        </w:rPr>
        <w:t> </w:t>
      </w:r>
      <w:r>
        <w:rPr>
          <w:color w:val="6E6158"/>
        </w:rPr>
        <w:t>local</w:t>
      </w:r>
      <w:r>
        <w:rPr>
          <w:color w:val="6E6158"/>
          <w:spacing w:val="12"/>
        </w:rPr>
        <w:t> </w:t>
      </w:r>
      <w:r>
        <w:rPr>
          <w:color w:val="6E6158"/>
        </w:rPr>
        <w:t>subsidiary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SEC</w:t>
      </w:r>
      <w:r>
        <w:rPr>
          <w:color w:val="6E6158"/>
          <w:spacing w:val="12"/>
        </w:rPr>
        <w:t> </w:t>
      </w:r>
      <w:r>
        <w:rPr>
          <w:color w:val="6E6158"/>
        </w:rPr>
        <w:t>reporting</w:t>
      </w:r>
      <w:r>
        <w:rPr>
          <w:color w:val="6E6158"/>
          <w:spacing w:val="12"/>
        </w:rPr>
        <w:t> </w:t>
      </w:r>
      <w:r>
        <w:rPr>
          <w:color w:val="6E6158"/>
        </w:rPr>
        <w:t>company</w:t>
      </w:r>
      <w:r>
        <w:rPr>
          <w:color w:val="6E6158"/>
          <w:spacing w:val="12"/>
        </w:rPr>
        <w:t> </w:t>
      </w:r>
      <w:r>
        <w:rPr>
          <w:color w:val="6E6158"/>
        </w:rPr>
        <w:t>on</w:t>
      </w:r>
      <w:r>
        <w:rPr>
          <w:color w:val="6E6158"/>
          <w:spacing w:val="12"/>
        </w:rPr>
        <w:t> </w:t>
      </w:r>
      <w:r>
        <w:rPr>
          <w:color w:val="6E6158"/>
        </w:rPr>
        <w:t>$407</w:t>
      </w:r>
      <w:r>
        <w:rPr>
          <w:color w:val="6E6158"/>
          <w:spacing w:val="12"/>
        </w:rPr>
        <w:t> </w:t>
      </w:r>
      <w:r>
        <w:rPr>
          <w:color w:val="6E6158"/>
        </w:rPr>
        <w:t>million</w:t>
      </w:r>
      <w:r>
        <w:rPr>
          <w:color w:val="6E6158"/>
          <w:spacing w:val="12"/>
        </w:rPr>
        <w:t> </w:t>
      </w:r>
      <w:r>
        <w:rPr>
          <w:color w:val="6E6158"/>
        </w:rPr>
        <w:t>credit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facility.</w:t>
      </w:r>
    </w:p>
    <w:p>
      <w:pPr>
        <w:pStyle w:val="BodyText"/>
        <w:spacing w:before="17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174857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8289pt;width:1.65pt;height:1.65pt;mso-position-horizontal-relative:page;mso-position-vertical-relative:paragraph;z-index:15734784" id="docshape25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Negotiated,</w:t>
      </w:r>
      <w:r>
        <w:rPr>
          <w:color w:val="6E6158"/>
          <w:spacing w:val="14"/>
        </w:rPr>
        <w:t> </w:t>
      </w:r>
      <w:r>
        <w:rPr>
          <w:color w:val="6E6158"/>
        </w:rPr>
        <w:t>drafted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closed</w:t>
      </w:r>
      <w:r>
        <w:rPr>
          <w:color w:val="6E6158"/>
          <w:spacing w:val="14"/>
        </w:rPr>
        <w:t> </w:t>
      </w:r>
      <w:r>
        <w:rPr>
          <w:color w:val="6E6158"/>
        </w:rPr>
        <w:t>asset</w:t>
      </w:r>
      <w:r>
        <w:rPr>
          <w:color w:val="6E6158"/>
          <w:spacing w:val="14"/>
        </w:rPr>
        <w:t> </w:t>
      </w:r>
      <w:r>
        <w:rPr>
          <w:color w:val="6E6158"/>
        </w:rPr>
        <w:t>purchase</w:t>
      </w:r>
      <w:r>
        <w:rPr>
          <w:color w:val="6E6158"/>
          <w:spacing w:val="14"/>
        </w:rPr>
        <w:t> </w:t>
      </w:r>
      <w:r>
        <w:rPr>
          <w:color w:val="6E6158"/>
        </w:rPr>
        <w:t>agreement</w:t>
      </w:r>
      <w:r>
        <w:rPr>
          <w:color w:val="6E6158"/>
          <w:spacing w:val="15"/>
        </w:rPr>
        <w:t> </w:t>
      </w:r>
      <w:r>
        <w:rPr>
          <w:color w:val="6E6158"/>
        </w:rPr>
        <w:t>involving</w:t>
      </w:r>
      <w:r>
        <w:rPr>
          <w:color w:val="6E6158"/>
          <w:spacing w:val="14"/>
        </w:rPr>
        <w:t> </w:t>
      </w:r>
      <w:r>
        <w:rPr>
          <w:color w:val="6E6158"/>
        </w:rPr>
        <w:t>three</w:t>
      </w:r>
      <w:r>
        <w:rPr>
          <w:color w:val="6E6158"/>
          <w:spacing w:val="14"/>
        </w:rPr>
        <w:t> </w:t>
      </w:r>
      <w:r>
        <w:rPr>
          <w:color w:val="6E6158"/>
        </w:rPr>
        <w:t>car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dealerships.</w:t>
      </w:r>
    </w:p>
    <w:p>
      <w:pPr>
        <w:pStyle w:val="BodyText"/>
        <w:spacing w:line="292" w:lineRule="auto" w:before="18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268453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8083pt;width:1.65pt;height:1.65pt;mso-position-horizontal-relative:page;mso-position-vertical-relative:paragraph;z-index:15735296" id="docshape26" coordorigin="1675,423" coordsize="33,33" path="m1696,455l1687,455,1683,454,1676,447,1675,444,1675,435,1676,431,1683,424,1687,423,1696,423,1699,424,1706,431,1707,435,1707,439,1707,444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Counseled regional bank on the successful workout of two condominium/apartment </w:t>
      </w:r>
      <w:r>
        <w:rPr>
          <w:color w:val="6E6158"/>
        </w:rPr>
        <w:t>secured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loans.</w:t>
      </w:r>
    </w:p>
    <w:p>
      <w:pPr>
        <w:pStyle w:val="BodyText"/>
        <w:spacing w:line="292" w:lineRule="auto" w:before="123"/>
        <w:ind w:left="356" w:right="3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230531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52058pt;width:1.65pt;height:1.65pt;mso-position-horizontal-relative:page;mso-position-vertical-relative:paragraph;z-index:15735808" id="docshape27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Served as landlord counsel for property management group and national developer</w:t>
      </w:r>
      <w:r>
        <w:rPr>
          <w:color w:val="6E6158"/>
          <w:spacing w:val="80"/>
        </w:rPr>
        <w:t> </w:t>
      </w:r>
      <w:r>
        <w:rPr>
          <w:color w:val="6E6158"/>
        </w:rPr>
        <w:t>handling</w:t>
      </w:r>
      <w:r>
        <w:rPr>
          <w:color w:val="6E6158"/>
          <w:spacing w:val="19"/>
        </w:rPr>
        <w:t> </w:t>
      </w:r>
      <w:r>
        <w:rPr>
          <w:color w:val="6E6158"/>
        </w:rPr>
        <w:t>retail,</w:t>
      </w:r>
      <w:r>
        <w:rPr>
          <w:color w:val="6E6158"/>
          <w:spacing w:val="19"/>
        </w:rPr>
        <w:t> </w:t>
      </w:r>
      <w:r>
        <w:rPr>
          <w:color w:val="6E6158"/>
        </w:rPr>
        <w:t>office</w:t>
      </w:r>
      <w:r>
        <w:rPr>
          <w:color w:val="6E6158"/>
          <w:spacing w:val="19"/>
        </w:rPr>
        <w:t> </w:t>
      </w:r>
      <w:r>
        <w:rPr>
          <w:color w:val="6E6158"/>
        </w:rPr>
        <w:t>and</w:t>
      </w:r>
      <w:r>
        <w:rPr>
          <w:color w:val="6E6158"/>
          <w:spacing w:val="19"/>
        </w:rPr>
        <w:t> </w:t>
      </w:r>
      <w:r>
        <w:rPr>
          <w:color w:val="6E6158"/>
        </w:rPr>
        <w:t>industrial</w:t>
      </w:r>
      <w:r>
        <w:rPr>
          <w:color w:val="6E6158"/>
          <w:spacing w:val="19"/>
        </w:rPr>
        <w:t> </w:t>
      </w:r>
      <w:r>
        <w:rPr>
          <w:color w:val="6E6158"/>
        </w:rPr>
        <w:t>leases</w:t>
      </w:r>
      <w:r>
        <w:rPr>
          <w:color w:val="6E6158"/>
          <w:spacing w:val="19"/>
        </w:rPr>
        <w:t> </w:t>
      </w:r>
      <w:r>
        <w:rPr>
          <w:color w:val="6E6158"/>
        </w:rPr>
        <w:t>for</w:t>
      </w:r>
      <w:r>
        <w:rPr>
          <w:color w:val="6E6158"/>
          <w:spacing w:val="19"/>
        </w:rPr>
        <w:t> </w:t>
      </w:r>
      <w:r>
        <w:rPr>
          <w:color w:val="6E6158"/>
        </w:rPr>
        <w:t>multiple</w:t>
      </w:r>
      <w:r>
        <w:rPr>
          <w:color w:val="6E6158"/>
          <w:spacing w:val="19"/>
        </w:rPr>
        <w:t> </w:t>
      </w:r>
      <w:r>
        <w:rPr>
          <w:color w:val="6E6158"/>
        </w:rPr>
        <w:t>tenant-in-common</w:t>
      </w:r>
      <w:r>
        <w:rPr>
          <w:color w:val="6E6158"/>
          <w:spacing w:val="19"/>
        </w:rPr>
        <w:t> </w:t>
      </w:r>
      <w:r>
        <w:rPr>
          <w:color w:val="6E6158"/>
        </w:rPr>
        <w:t>owned</w:t>
      </w:r>
      <w:r>
        <w:rPr>
          <w:color w:val="6E6158"/>
          <w:spacing w:val="19"/>
        </w:rPr>
        <w:t> </w:t>
      </w:r>
      <w:r>
        <w:rPr>
          <w:color w:val="6E6158"/>
        </w:rPr>
        <w:t>properties.</w:t>
      </w:r>
    </w:p>
    <w:p>
      <w:pPr>
        <w:pStyle w:val="BodyText"/>
        <w:spacing w:line="292" w:lineRule="auto" w:before="131"/>
        <w:ind w:left="356" w:right="14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235875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2905pt;width:1.65pt;height:1.65pt;mso-position-horizontal-relative:page;mso-position-vertical-relative:paragraph;z-index:15736320" id="docshape28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Negotiated and closed the sale of leasehold interest in Forum Shops at Caesars </w:t>
      </w:r>
      <w:r>
        <w:rPr>
          <w:color w:val="6E6158"/>
        </w:rPr>
        <w:t>to international retail chain.</w:t>
      </w:r>
    </w:p>
    <w:p>
      <w:pPr>
        <w:pStyle w:val="BodyText"/>
        <w:spacing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143129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0002pt;width:1.65pt;height:1.65pt;mso-position-horizontal-relative:page;mso-position-vertical-relative:paragraph;z-index:15736832" id="docshape29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Closed</w:t>
      </w:r>
      <w:r>
        <w:rPr>
          <w:color w:val="6E6158"/>
          <w:spacing w:val="13"/>
        </w:rPr>
        <w:t> </w:t>
      </w:r>
      <w:r>
        <w:rPr>
          <w:color w:val="6E6158"/>
        </w:rPr>
        <w:t>$64</w:t>
      </w:r>
      <w:r>
        <w:rPr>
          <w:color w:val="6E6158"/>
          <w:spacing w:val="13"/>
        </w:rPr>
        <w:t> </w:t>
      </w:r>
      <w:r>
        <w:rPr>
          <w:color w:val="6E6158"/>
        </w:rPr>
        <w:t>million</w:t>
      </w:r>
      <w:r>
        <w:rPr>
          <w:color w:val="6E6158"/>
          <w:spacing w:val="13"/>
        </w:rPr>
        <w:t> </w:t>
      </w:r>
      <w:r>
        <w:rPr>
          <w:color w:val="6E6158"/>
        </w:rPr>
        <w:t>land</w:t>
      </w:r>
      <w:r>
        <w:rPr>
          <w:color w:val="6E6158"/>
          <w:spacing w:val="14"/>
        </w:rPr>
        <w:t> </w:t>
      </w:r>
      <w:r>
        <w:rPr>
          <w:color w:val="6E6158"/>
        </w:rPr>
        <w:t>acquisition</w:t>
      </w:r>
      <w:r>
        <w:rPr>
          <w:color w:val="6E6158"/>
          <w:spacing w:val="13"/>
        </w:rPr>
        <w:t> </w:t>
      </w:r>
      <w:r>
        <w:rPr>
          <w:color w:val="6E6158"/>
        </w:rPr>
        <w:t>deal</w:t>
      </w:r>
      <w:r>
        <w:rPr>
          <w:color w:val="6E6158"/>
          <w:spacing w:val="13"/>
        </w:rPr>
        <w:t> </w:t>
      </w:r>
      <w:r>
        <w:rPr>
          <w:color w:val="6E6158"/>
        </w:rPr>
        <w:t>for</w:t>
      </w:r>
      <w:r>
        <w:rPr>
          <w:color w:val="6E6158"/>
          <w:spacing w:val="13"/>
        </w:rPr>
        <w:t> </w:t>
      </w:r>
      <w:r>
        <w:rPr>
          <w:color w:val="6E6158"/>
        </w:rPr>
        <w:t>national</w:t>
      </w:r>
      <w:r>
        <w:rPr>
          <w:color w:val="6E6158"/>
          <w:spacing w:val="14"/>
        </w:rPr>
        <w:t> </w:t>
      </w:r>
      <w:r>
        <w:rPr>
          <w:color w:val="6E6158"/>
        </w:rPr>
        <w:t>homebuilder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client.</w:t>
      </w:r>
    </w:p>
    <w:p>
      <w:pPr>
        <w:pStyle w:val="BodyText"/>
        <w:spacing w:before="49"/>
        <w:rPr>
          <w:sz w:val="24"/>
        </w:rPr>
      </w:pPr>
    </w:p>
    <w:p>
      <w:pPr>
        <w:pStyle w:val="Heading2"/>
        <w:spacing w:before="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line="288" w:lineRule="auto" w:before="139"/>
        <w:ind w:left="356" w:right="32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255733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136515pt;width:1.65pt;height:1.65pt;mso-position-horizontal-relative:page;mso-position-vertical-relative:paragraph;z-index:15737344" id="docshape30" coordorigin="1675,403" coordsize="33,33" path="m1696,435l1687,435,1683,434,1676,427,1675,423,1675,415,1676,411,1683,404,1687,403,1696,403,1699,404,1706,411,1707,415,1707,419,1707,423,1706,427,1699,434,1696,4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Commercial Finance Law, Construction Law, Litigation – Real Estate, Real Estate Law, 2018-2026</w:t>
      </w:r>
    </w:p>
    <w:p>
      <w:pPr>
        <w:spacing w:line="398" w:lineRule="auto" w:before="118"/>
        <w:ind w:left="356" w:right="344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145914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89346pt;width:1.65pt;height:1.65pt;mso-position-horizontal-relative:page;mso-position-vertical-relative:paragraph;z-index:15737856" id="docshape31" coordorigin="1675,230" coordsize="33,33" path="m1696,262l1687,262,1683,261,1676,254,1675,251,1675,242,1676,238,1683,231,1687,230,1696,230,1699,231,1706,238,1707,242,1707,246,1707,251,1706,254,1699,261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404280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833094pt;width:1.65pt;height:1.65pt;mso-position-horizontal-relative:page;mso-position-vertical-relative:paragraph;z-index:15738368" id="docshape32" coordorigin="1675,637" coordsize="33,33" path="m1696,669l1687,669,1683,668,1676,661,1675,657,1675,648,1676,645,1683,638,1687,637,1696,637,1699,638,1706,645,1707,648,1707,653,1707,657,1706,661,1699,668,1696,66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Recommended in </w:t>
      </w:r>
      <w:r>
        <w:rPr>
          <w:i/>
          <w:color w:val="6E6158"/>
          <w:sz w:val="20"/>
        </w:rPr>
        <w:t>The Legal 500 US</w:t>
      </w:r>
      <w:r>
        <w:rPr>
          <w:color w:val="6E6158"/>
          <w:sz w:val="19"/>
        </w:rPr>
        <w:t>, Real Estate, 2020 “Legal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Elite,”</w:t>
      </w:r>
      <w:r>
        <w:rPr>
          <w:color w:val="6E6158"/>
          <w:spacing w:val="-4"/>
          <w:sz w:val="19"/>
        </w:rPr>
        <w:t> </w:t>
      </w:r>
      <w:r>
        <w:rPr>
          <w:i/>
          <w:color w:val="6E6158"/>
          <w:sz w:val="20"/>
        </w:rPr>
        <w:t>Nevada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Magazine,</w:t>
      </w:r>
      <w:r>
        <w:rPr>
          <w:i/>
          <w:color w:val="6E6158"/>
          <w:spacing w:val="-7"/>
          <w:sz w:val="20"/>
        </w:rPr>
        <w:t> </w:t>
      </w:r>
      <w:r>
        <w:rPr>
          <w:color w:val="6E6158"/>
          <w:sz w:val="19"/>
        </w:rPr>
        <w:t>2013,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2015-</w:t>
      </w:r>
      <w:r>
        <w:rPr>
          <w:color w:val="6E6158"/>
          <w:sz w:val="19"/>
        </w:rPr>
        <w:t>2016</w:t>
      </w:r>
    </w:p>
    <w:p>
      <w:pPr>
        <w:spacing w:line="288" w:lineRule="auto" w:before="10"/>
        <w:ind w:left="356" w:right="32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174100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08671pt;width:1.65pt;height:1.65pt;mso-position-horizontal-relative:page;mso-position-vertical-relative:paragraph;z-index:15738880" id="docshape33" coordorigin="1675,274" coordsize="33,33" path="m1696,307l1687,307,1683,305,1676,299,1675,295,1675,286,1676,282,1683,276,1687,274,1696,274,1699,276,1706,282,1707,286,1707,290,1707,295,1706,299,1699,305,1696,3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Mountain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States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Rising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Stars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Real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Estate,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Business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&amp;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Finance,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Emerging Businesses &amp; Technologies, Financial Restructuring, Mergers &amp; Acquistions, 2025</w:t>
      </w:r>
    </w:p>
    <w:p>
      <w:pPr>
        <w:spacing w:line="405" w:lineRule="auto" w:before="121"/>
        <w:ind w:left="356" w:right="142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156530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25251pt;width:1.65pt;height:1.65pt;mso-position-horizontal-relative:page;mso-position-vertical-relative:paragraph;z-index:15739392" id="docshape34" coordorigin="1675,247" coordsize="33,33" path="m1696,279l1687,279,1683,277,1676,271,1675,267,1675,258,1676,254,1683,248,1687,247,1696,247,1699,248,1706,254,1707,258,1707,263,1707,267,1706,271,1699,277,1696,2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435565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296505pt;width:1.65pt;height:1.65pt;mso-position-horizontal-relative:page;mso-position-vertical-relative:paragraph;z-index:15739904" id="docshape35" coordorigin="1675,686" coordsize="33,33" path="m1696,718l1687,718,1683,717,1676,711,1675,707,1675,698,1676,694,1683,688,1687,686,1696,686,1699,688,1706,694,1707,698,1707,702,1707,707,1706,711,1699,717,1696,7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714600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6.267761pt;width:1.65pt;height:1.65pt;mso-position-horizontal-relative:page;mso-position-vertical-relative:paragraph;z-index:15740416" id="docshape36" coordorigin="1675,1125" coordsize="33,33" path="m1696,1158l1687,1158,1683,1156,1676,1150,1675,1146,1675,1137,1676,1133,1683,1127,1687,1125,1696,1125,1699,1127,1706,1133,1707,1137,1707,1142,1707,1146,1706,1150,1699,1156,1696,11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Mountain States Super Lawyers Rising Stars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Real Estate: Business, 2015 </w:t>
      </w:r>
      <w:r>
        <w:rPr>
          <w:i/>
          <w:color w:val="6E6158"/>
          <w:sz w:val="20"/>
        </w:rPr>
        <w:t>Mountain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States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Rising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Stars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9"/>
          <w:sz w:val="20"/>
        </w:rPr>
        <w:t> </w:t>
      </w:r>
      <w:r>
        <w:rPr>
          <w:color w:val="6E6158"/>
          <w:sz w:val="19"/>
        </w:rPr>
        <w:t>Business/Corporate,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2012-</w:t>
      </w:r>
      <w:r>
        <w:rPr>
          <w:color w:val="6E6158"/>
          <w:sz w:val="19"/>
        </w:rPr>
        <w:t>2014 </w:t>
      </w:r>
      <w:r>
        <w:rPr>
          <w:i/>
          <w:color w:val="6E6158"/>
          <w:sz w:val="20"/>
        </w:rPr>
        <w:t>Mountain States Super Lawyers and Rising Stars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2010</w:t>
      </w:r>
    </w:p>
    <w:p>
      <w:pPr>
        <w:spacing w:line="236" w:lineRule="exact" w:before="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65472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55313pt;width:1.65pt;height:1.65pt;mso-position-horizontal-relative:page;mso-position-vertical-relative:paragraph;z-index:15740928" id="docshape37" coordorigin="1675,103" coordsize="33,33" path="m1696,136l1687,136,1683,134,1676,128,1675,124,1675,115,1676,111,1683,105,1687,103,1696,103,1699,105,1706,111,1707,115,1707,119,1707,124,1706,128,1699,134,1696,1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Honored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as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1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20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“Best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Up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Coming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Attorneys”,</w:t>
      </w:r>
      <w:r>
        <w:rPr>
          <w:color w:val="6E6158"/>
          <w:spacing w:val="2"/>
          <w:sz w:val="19"/>
        </w:rPr>
        <w:t> </w:t>
      </w:r>
      <w:r>
        <w:rPr>
          <w:i/>
          <w:color w:val="6E6158"/>
          <w:sz w:val="20"/>
        </w:rPr>
        <w:t>Nevada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Magazine,</w:t>
      </w:r>
      <w:r>
        <w:rPr>
          <w:i/>
          <w:color w:val="6E6158"/>
          <w:spacing w:val="-1"/>
          <w:sz w:val="20"/>
        </w:rPr>
        <w:t> </w:t>
      </w:r>
      <w:r>
        <w:rPr>
          <w:color w:val="6E6158"/>
          <w:spacing w:val="-4"/>
          <w:sz w:val="19"/>
        </w:rPr>
        <w:t>2010</w:t>
      </w:r>
    </w:p>
    <w:p>
      <w:pPr>
        <w:pStyle w:val="BodyText"/>
        <w:spacing w:before="39"/>
        <w:rPr>
          <w:sz w:val="24"/>
        </w:rPr>
      </w:pPr>
    </w:p>
    <w:p>
      <w:pPr>
        <w:pStyle w:val="Heading2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6"/>
        <w:ind w:left="356" w:right="3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250703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40454pt;width:1.65pt;height:1.65pt;mso-position-horizontal-relative:page;mso-position-vertical-relative:paragraph;z-index:15741440" id="docshape38" coordorigin="1675,395" coordsize="33,33" path="m1696,427l1687,427,1683,426,1676,419,1675,416,1675,407,1676,403,1683,396,1687,395,1696,395,1699,396,1706,403,1707,407,1707,411,1707,416,1706,419,1699,426,1696,4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5821F"/>
          </w:rPr>
          <w:t>Interview, “Consistent Hard Work Still Remains the Key to Success,” Fennemore Blog, June 16,</w:t>
        </w:r>
      </w:hyperlink>
      <w:r>
        <w:rPr>
          <w:color w:val="F5821F"/>
          <w:spacing w:val="40"/>
        </w:rPr>
        <w:t> </w:t>
      </w:r>
      <w:hyperlink r:id="rId12">
        <w:r>
          <w:rPr>
            <w:color w:val="F5821F"/>
            <w:spacing w:val="-4"/>
          </w:rPr>
          <w:t>2022</w:t>
        </w:r>
      </w:hyperlink>
    </w:p>
    <w:p>
      <w:pPr>
        <w:pStyle w:val="BodyText"/>
        <w:spacing w:line="408" w:lineRule="auto" w:before="11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136597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55748pt;width:1.65pt;height:1.65pt;mso-position-horizontal-relative:page;mso-position-vertical-relative:paragraph;z-index:15741952" id="docshape39" coordorigin="1675,215" coordsize="33,33" path="m1696,248l1687,248,1683,246,1676,240,1675,236,1675,227,1676,223,1683,217,1687,215,1696,215,1699,217,1706,223,1707,227,1707,231,1707,236,1706,240,1699,246,1696,2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394963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099491pt;width:1.65pt;height:1.65pt;mso-position-horizontal-relative:page;mso-position-vertical-relative:paragraph;z-index:15742464" id="docshape40" coordorigin="1675,622" coordsize="33,33" path="m1696,655l1687,655,1683,653,1676,647,1675,643,1675,634,1676,630,1683,624,1687,622,1696,622,1699,624,1706,630,1707,634,1707,638,1707,643,1706,647,1699,653,1696,6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F8100"/>
          </w:rPr>
          <w:t>Quoted, “Let’s Celebrate Random Acts of Kindness Day,” Fennemore Blog, February 18, </w:t>
        </w:r>
        <w:r>
          <w:rPr>
            <w:color w:val="FF8100"/>
          </w:rPr>
          <w:t>2021</w:t>
        </w:r>
      </w:hyperlink>
      <w:r>
        <w:rPr>
          <w:color w:val="FF8100"/>
          <w:spacing w:val="40"/>
        </w:rPr>
        <w:t> </w:t>
      </w:r>
      <w:r>
        <w:rPr>
          <w:color w:val="6E6158"/>
        </w:rPr>
        <w:t>Quoted, “Industry Focus,” </w:t>
      </w:r>
      <w:r>
        <w:rPr>
          <w:i/>
          <w:color w:val="6E6158"/>
          <w:sz w:val="20"/>
        </w:rPr>
        <w:t>Nevada Business Magazine</w:t>
      </w:r>
      <w:r>
        <w:rPr>
          <w:color w:val="6E6158"/>
        </w:rPr>
        <w:t>, December 1, 2020</w:t>
      </w:r>
    </w:p>
    <w:p>
      <w:pPr>
        <w:pStyle w:val="BodyText"/>
        <w:spacing w:line="290" w:lineRule="auto" w:before="1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158402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72618pt;width:1.65pt;height:1.65pt;mso-position-horizontal-relative:page;mso-position-vertical-relative:paragraph;z-index:15742976" id="docshape41" coordorigin="1675,249" coordsize="33,33" path="m1696,282l1687,282,1683,280,1676,274,1675,270,1675,261,1676,257,1683,251,1687,249,1696,249,1699,251,1706,257,1707,261,1707,266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“The Las Vegas Gambling Scene Has Gone Off-Strip. Here’s What Investors Need to Know,” </w:t>
      </w:r>
      <w:r>
        <w:rPr>
          <w:i/>
          <w:color w:val="6E6158"/>
          <w:sz w:val="20"/>
        </w:rPr>
        <w:t>Million Acres, </w:t>
      </w:r>
      <w:r>
        <w:rPr>
          <w:color w:val="6E6158"/>
        </w:rPr>
        <w:t>October 31, 2020</w:t>
      </w:r>
    </w:p>
    <w:p>
      <w:pPr>
        <w:spacing w:line="398" w:lineRule="auto" w:before="11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141743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160908pt;width:1.65pt;height:1.65pt;mso-position-horizontal-relative:page;mso-position-vertical-relative:paragraph;z-index:15743488" id="docshape42" coordorigin="1675,223" coordsize="33,33" path="m1696,256l1687,256,1683,254,1676,248,1675,244,1675,235,1676,231,1683,225,1687,223,1696,223,1699,225,1706,231,1707,235,1707,239,1707,244,1706,248,1699,254,1696,25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400109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0465pt;width:1.65pt;height:1.65pt;mso-position-horizontal-relative:page;mso-position-vertical-relative:paragraph;z-index:15744000" id="docshape43" coordorigin="1675,630" coordsize="33,33" path="m1696,663l1687,663,1683,661,1676,655,1675,651,1675,642,1676,638,1683,632,1687,630,1696,630,1699,632,1706,638,1707,642,1707,646,1707,651,1706,655,1699,661,1696,66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F8100"/>
            <w:sz w:val="19"/>
          </w:rPr>
          <w:t>Author, “Five Things to do Before 2018 Ends,”</w:t>
        </w:r>
      </w:hyperlink>
      <w:r>
        <w:rPr>
          <w:color w:val="FF8100"/>
          <w:sz w:val="19"/>
        </w:rPr>
        <w:t> </w:t>
      </w:r>
      <w:hyperlink r:id="rId14">
        <w:r>
          <w:rPr>
            <w:i/>
            <w:color w:val="FF8100"/>
            <w:sz w:val="20"/>
          </w:rPr>
          <w:t>Las</w:t>
        </w:r>
        <w:r>
          <w:rPr>
            <w:i/>
            <w:color w:val="FF8100"/>
            <w:spacing w:val="-1"/>
            <w:sz w:val="20"/>
          </w:rPr>
          <w:t> </w:t>
        </w:r>
        <w:r>
          <w:rPr>
            <w:i/>
            <w:color w:val="FF8100"/>
            <w:sz w:val="20"/>
          </w:rPr>
          <w:t>Vegas</w:t>
        </w:r>
        <w:r>
          <w:rPr>
            <w:i/>
            <w:color w:val="FF8100"/>
            <w:spacing w:val="-1"/>
            <w:sz w:val="20"/>
          </w:rPr>
          <w:t> </w:t>
        </w:r>
        <w:r>
          <w:rPr>
            <w:i/>
            <w:color w:val="FF8100"/>
            <w:sz w:val="20"/>
          </w:rPr>
          <w:t>Business</w:t>
        </w:r>
        <w:r>
          <w:rPr>
            <w:i/>
            <w:color w:val="FF8100"/>
            <w:spacing w:val="-1"/>
            <w:sz w:val="20"/>
          </w:rPr>
          <w:t> </w:t>
        </w:r>
        <w:r>
          <w:rPr>
            <w:i/>
            <w:color w:val="FF8100"/>
            <w:sz w:val="20"/>
          </w:rPr>
          <w:t>Press,</w:t>
        </w:r>
      </w:hyperlink>
      <w:r>
        <w:rPr>
          <w:i/>
          <w:color w:val="FF8100"/>
          <w:spacing w:val="-1"/>
          <w:sz w:val="20"/>
        </w:rPr>
        <w:t> </w:t>
      </w:r>
      <w:hyperlink r:id="rId14">
        <w:r>
          <w:rPr>
            <w:color w:val="FF8100"/>
            <w:sz w:val="19"/>
          </w:rPr>
          <w:t>December 11, 2018</w:t>
        </w:r>
      </w:hyperlink>
      <w:r>
        <w:rPr>
          <w:color w:val="FF8100"/>
          <w:sz w:val="19"/>
        </w:rPr>
        <w:t> </w:t>
      </w:r>
      <w:r>
        <w:rPr>
          <w:color w:val="6E6158"/>
          <w:sz w:val="19"/>
        </w:rPr>
        <w:t>Quoted, “Movers &amp; Shakers: Mark Hawkins,” </w:t>
      </w:r>
      <w:r>
        <w:rPr>
          <w:i/>
          <w:color w:val="6E6158"/>
          <w:sz w:val="20"/>
        </w:rPr>
        <w:t>Nevada Business Magazine</w:t>
      </w:r>
      <w:r>
        <w:rPr>
          <w:color w:val="6E6158"/>
          <w:sz w:val="19"/>
        </w:rPr>
        <w:t>, July 1, 2017</w:t>
      </w:r>
    </w:p>
    <w:p>
      <w:pPr>
        <w:pStyle w:val="Heading2"/>
        <w:spacing w:before="179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152890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8606pt;width:1.65pt;height:1.65pt;mso-position-horizontal-relative:page;mso-position-vertical-relative:paragraph;z-index:15744512" id="docshape44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Nevada</w:t>
      </w:r>
    </w:p>
    <w:p>
      <w:pPr>
        <w:pStyle w:val="BodyText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120776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09959pt;width:1.65pt;height:1.65pt;mso-position-horizontal-relative:page;mso-position-vertical-relative:paragraph;z-index:15745024" id="docshape45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7"/>
        </w:rPr>
        <w:t> </w:t>
      </w:r>
      <w:r>
        <w:rPr>
          <w:color w:val="6E6158"/>
        </w:rPr>
        <w:t>Clark</w:t>
      </w:r>
      <w:r>
        <w:rPr>
          <w:color w:val="6E6158"/>
          <w:spacing w:val="7"/>
        </w:rPr>
        <w:t> </w:t>
      </w:r>
      <w:r>
        <w:rPr>
          <w:color w:val="6E6158"/>
        </w:rPr>
        <w:t>County</w:t>
      </w:r>
      <w:r>
        <w:rPr>
          <w:color w:val="6E6158"/>
          <w:spacing w:val="7"/>
        </w:rPr>
        <w:t> </w:t>
      </w:r>
      <w:r>
        <w:rPr>
          <w:color w:val="6E6158"/>
        </w:rPr>
        <w:t>Bar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Association</w:t>
      </w:r>
    </w:p>
    <w:p>
      <w:pPr>
        <w:pStyle w:val="Heading2"/>
        <w:spacing w:before="213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158098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738pt;width:1.65pt;height:1.65pt;mso-position-horizontal-relative:page;mso-position-vertical-relative:paragraph;z-index:15745536" id="docshape46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Nevada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7"/>
      <w:ind w:left="104"/>
      <w:outlineLvl w:val="1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4"/>
      <w:outlineLvl w:val="2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las-vegas/" TargetMode="External"/><Relationship Id="rId10" Type="http://schemas.openxmlformats.org/officeDocument/2006/relationships/hyperlink" Target="https://www.fennemorelaw.com/contact-us/reno/" TargetMode="External"/><Relationship Id="rId11" Type="http://schemas.openxmlformats.org/officeDocument/2006/relationships/hyperlink" Target="mailto:mhawkins@fennemorelaw.com" TargetMode="External"/><Relationship Id="rId12" Type="http://schemas.openxmlformats.org/officeDocument/2006/relationships/hyperlink" Target="https://www.fennemorelaw.com/consistent-hard-work-still-remains-the-key-to-success/" TargetMode="External"/><Relationship Id="rId13" Type="http://schemas.openxmlformats.org/officeDocument/2006/relationships/hyperlink" Target="https://www.fennemorelaw.com/insights/blogs/2021/let-s-celebrate-random-acts-of-kindness-day" TargetMode="External"/><Relationship Id="rId14" Type="http://schemas.openxmlformats.org/officeDocument/2006/relationships/hyperlink" Target="https://businesspress.vegas/columns/experts-corner/five-things-to-do-before-2018-ends-18187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2025-09-09T17:18:07Z</dcterms:created>
  <dcterms:modified xsi:type="dcterms:W3CDTF">2025-09-09T17:18:07Z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2025-09-09T00:00:00Z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2025-09-09T00:00:00Z</vt:filetime>
  </property>
  <property fmtid="{D5CDD505-2E9C-101B-9397-08002B2CF9AE}" pid="5" name="Producer">
    <vt:lpwstr>Skia/PDF m117</vt:lpwstr>
  </property>
</Properties>
</file>