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02612" y="763308"/>
                            <a:ext cx="130746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COLTEN BALLINGER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0358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559.446.3217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58250" y="2500373"/>
                            <a:ext cx="15957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cballinger@fennemorelaw.com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49.05pt;mso-position-horizontal-relative:page;mso-position-vertical-relative:page;z-index:15729152" id="docshapegroup1" coordorigin="1341,560" coordsize="9554,4981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557" type="#_x0000_t75" id="docshape3" stroked="false">
                  <v:imagedata r:id="rId7" o:title=""/>
                </v:shape>
                <v:rect style="position:absolute;left:6117;top:983;width:4777;height:4557" id="docshape4" filled="true" fillcolor="#262424" stroked="false">
                  <v:fill type="solid"/>
                </v:rect>
                <v:shape style="position:absolute;left:6842;top:3147;width:3337;height:505" id="docshape5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87;top:1762;width:2059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COLTEN BALLINGER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5;top:3919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559.446.3217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559.432.4502</w:t>
                        </w:r>
                      </w:p>
                    </w:txbxContent>
                  </v:textbox>
                  <w10:wrap type="none"/>
                </v:shape>
                <v:shape style="position:absolute;left:7259;top:4497;width:2513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cballinger@fennemorelaw.com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21"/>
        <w:rPr>
          <w:rFonts w:ascii="Times New Roman"/>
          <w:sz w:val="24"/>
        </w:rPr>
      </w:pPr>
    </w:p>
    <w:p>
      <w:pPr>
        <w:pStyle w:val="Heading1"/>
      </w:pPr>
      <w:r>
        <w:rPr>
          <w:color w:val="FF8100"/>
        </w:rPr>
        <w:t>COLTEN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BALLINGER</w:t>
      </w:r>
    </w:p>
    <w:p>
      <w:pPr>
        <w:pStyle w:val="BodyText"/>
        <w:spacing w:line="302" w:lineRule="auto" w:before="146"/>
        <w:ind w:left="104" w:right="331"/>
      </w:pPr>
      <w:r>
        <w:rPr>
          <w:color w:val="6E6158"/>
        </w:rPr>
        <w:t>Colten D. Ballinger is an attorney in Fennemore’s </w:t>
      </w:r>
      <w:hyperlink r:id="rId8">
        <w:r>
          <w:rPr>
            <w:color w:val="F5821F"/>
          </w:rPr>
          <w:t>Business &amp; Finance</w:t>
        </w:r>
      </w:hyperlink>
      <w:r>
        <w:rPr>
          <w:color w:val="F5821F"/>
        </w:rPr>
        <w:t> </w:t>
      </w:r>
      <w:r>
        <w:rPr>
          <w:color w:val="6E6158"/>
        </w:rPr>
        <w:t>practice group. He assists</w:t>
      </w:r>
      <w:r>
        <w:rPr>
          <w:color w:val="6E6158"/>
          <w:spacing w:val="40"/>
        </w:rPr>
        <w:t> </w:t>
      </w:r>
      <w:r>
        <w:rPr>
          <w:color w:val="6E6158"/>
        </w:rPr>
        <w:t>agribusinesses,</w:t>
      </w:r>
      <w:r>
        <w:rPr>
          <w:color w:val="6E6158"/>
          <w:spacing w:val="30"/>
        </w:rPr>
        <w:t> </w:t>
      </w:r>
      <w:r>
        <w:rPr>
          <w:color w:val="6E6158"/>
        </w:rPr>
        <w:t>lenders,</w:t>
      </w:r>
      <w:r>
        <w:rPr>
          <w:color w:val="6E6158"/>
          <w:spacing w:val="30"/>
        </w:rPr>
        <w:t> </w:t>
      </w:r>
      <w:r>
        <w:rPr>
          <w:color w:val="6E6158"/>
        </w:rPr>
        <w:t>public</w:t>
      </w:r>
      <w:r>
        <w:rPr>
          <w:color w:val="6E6158"/>
          <w:spacing w:val="30"/>
        </w:rPr>
        <w:t> </w:t>
      </w:r>
      <w:r>
        <w:rPr>
          <w:color w:val="6E6158"/>
        </w:rPr>
        <w:t>&amp;</w:t>
      </w:r>
      <w:r>
        <w:rPr>
          <w:color w:val="6E6158"/>
          <w:spacing w:val="30"/>
        </w:rPr>
        <w:t> </w:t>
      </w:r>
      <w:r>
        <w:rPr>
          <w:color w:val="6E6158"/>
        </w:rPr>
        <w:t>private</w:t>
      </w:r>
      <w:r>
        <w:rPr>
          <w:color w:val="6E6158"/>
          <w:spacing w:val="30"/>
        </w:rPr>
        <w:t> </w:t>
      </w:r>
      <w:r>
        <w:rPr>
          <w:color w:val="6E6158"/>
        </w:rPr>
        <w:t>entities,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individuals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tax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  <w:r>
        <w:rPr>
          <w:color w:val="6E6158"/>
          <w:spacing w:val="30"/>
        </w:rPr>
        <w:t> </w:t>
      </w:r>
      <w:r>
        <w:rPr>
          <w:color w:val="6E6158"/>
        </w:rPr>
        <w:t>(international</w:t>
      </w:r>
      <w:r>
        <w:rPr>
          <w:color w:val="6E6158"/>
          <w:spacing w:val="30"/>
        </w:rPr>
        <w:t> </w:t>
      </w:r>
      <w:r>
        <w:rPr>
          <w:color w:val="6E6158"/>
        </w:rPr>
        <w:t>&amp;</w:t>
      </w:r>
    </w:p>
    <w:p>
      <w:pPr>
        <w:pStyle w:val="BodyText"/>
        <w:spacing w:line="292" w:lineRule="auto"/>
        <w:ind w:left="104" w:right="366"/>
      </w:pPr>
      <w:r>
        <w:rPr>
          <w:color w:val="6E6158"/>
        </w:rPr>
        <w:t>domestic), estate planning, complex financial transactions, and multi-national transfer </w:t>
      </w:r>
      <w:r>
        <w:rPr>
          <w:color w:val="6E6158"/>
        </w:rPr>
        <w:t>pricing.</w:t>
      </w:r>
      <w:r>
        <w:rPr>
          <w:color w:val="6E6158"/>
          <w:spacing w:val="40"/>
        </w:rPr>
        <w:t> </w:t>
      </w:r>
      <w:r>
        <w:rPr>
          <w:color w:val="6E6158"/>
        </w:rPr>
        <w:t>He also has experience in syndicated lending and credit agreements, transactional law and</w:t>
      </w:r>
      <w:r>
        <w:rPr>
          <w:color w:val="6E6158"/>
          <w:spacing w:val="40"/>
        </w:rPr>
        <w:t> </w:t>
      </w:r>
      <w:r>
        <w:rPr>
          <w:color w:val="6E6158"/>
        </w:rPr>
        <w:t>contract</w:t>
      </w:r>
      <w:r>
        <w:rPr>
          <w:color w:val="6E6158"/>
          <w:spacing w:val="40"/>
        </w:rPr>
        <w:t> </w:t>
      </w:r>
      <w:r>
        <w:rPr>
          <w:color w:val="6E6158"/>
        </w:rPr>
        <w:t>drafting,</w:t>
      </w:r>
      <w:r>
        <w:rPr>
          <w:color w:val="6E6158"/>
          <w:spacing w:val="40"/>
        </w:rPr>
        <w:t> </w:t>
      </w:r>
      <w:r>
        <w:rPr>
          <w:color w:val="6E6158"/>
        </w:rPr>
        <w:t>entity</w:t>
      </w:r>
      <w:r>
        <w:rPr>
          <w:color w:val="6E6158"/>
          <w:spacing w:val="40"/>
        </w:rPr>
        <w:t> </w:t>
      </w:r>
      <w:r>
        <w:rPr>
          <w:color w:val="6E6158"/>
        </w:rPr>
        <w:t>formation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risk</w:t>
      </w:r>
      <w:r>
        <w:rPr>
          <w:color w:val="6E6158"/>
          <w:spacing w:val="40"/>
        </w:rPr>
        <w:t> </w:t>
      </w:r>
      <w:r>
        <w:rPr>
          <w:color w:val="6E6158"/>
        </w:rPr>
        <w:t>management.</w:t>
      </w:r>
    </w:p>
    <w:p>
      <w:pPr>
        <w:pStyle w:val="BodyText"/>
        <w:spacing w:line="295" w:lineRule="auto" w:before="196"/>
        <w:ind w:left="104" w:right="331"/>
      </w:pPr>
      <w:r>
        <w:rPr>
          <w:color w:val="6E6158"/>
        </w:rPr>
        <w:t>Colten is known for delivering strategic legal counsel across public and private sectors, with</w:t>
      </w:r>
      <w:r>
        <w:rPr>
          <w:color w:val="6E6158"/>
          <w:spacing w:val="40"/>
        </w:rPr>
        <w:t> </w:t>
      </w:r>
      <w:r>
        <w:rPr>
          <w:color w:val="6E6158"/>
        </w:rPr>
        <w:t>successful outcomes in high-value matters including defense of multimillion-dollar tax disputes</w:t>
      </w:r>
      <w:r>
        <w:rPr>
          <w:color w:val="6E6158"/>
          <w:spacing w:val="40"/>
        </w:rPr>
        <w:t> </w:t>
      </w:r>
      <w:r>
        <w:rPr>
          <w:color w:val="6E6158"/>
        </w:rPr>
        <w:t>and structuring syndicated financing deals. Prior to joining Fennemore, Colten worked at a</w:t>
      </w:r>
      <w:r>
        <w:rPr>
          <w:color w:val="6E6158"/>
          <w:spacing w:val="40"/>
        </w:rPr>
        <w:t> </w:t>
      </w:r>
      <w:r>
        <w:rPr>
          <w:color w:val="6E6158"/>
        </w:rPr>
        <w:t>Central Valley-based firm, where he counseled numerous businesses and lenders through secured</w:t>
      </w:r>
      <w:r>
        <w:rPr>
          <w:color w:val="6E6158"/>
          <w:spacing w:val="23"/>
        </w:rPr>
        <w:t> </w:t>
      </w:r>
      <w:r>
        <w:rPr>
          <w:color w:val="6E6158"/>
        </w:rPr>
        <w:t>lending</w:t>
      </w:r>
      <w:r>
        <w:rPr>
          <w:color w:val="6E6158"/>
          <w:spacing w:val="23"/>
        </w:rPr>
        <w:t> </w:t>
      </w:r>
      <w:r>
        <w:rPr>
          <w:color w:val="6E6158"/>
        </w:rPr>
        <w:t>transactions,</w:t>
      </w:r>
      <w:r>
        <w:rPr>
          <w:color w:val="6E6158"/>
          <w:spacing w:val="23"/>
        </w:rPr>
        <w:t> </w:t>
      </w:r>
      <w:r>
        <w:rPr>
          <w:color w:val="6E6158"/>
        </w:rPr>
        <w:t>entity</w:t>
      </w:r>
      <w:r>
        <w:rPr>
          <w:color w:val="6E6158"/>
          <w:spacing w:val="23"/>
        </w:rPr>
        <w:t> </w:t>
      </w:r>
      <w:r>
        <w:rPr>
          <w:color w:val="6E6158"/>
        </w:rPr>
        <w:t>formations,</w:t>
      </w:r>
      <w:r>
        <w:rPr>
          <w:color w:val="6E6158"/>
          <w:spacing w:val="23"/>
        </w:rPr>
        <w:t> </w:t>
      </w:r>
      <w:r>
        <w:rPr>
          <w:color w:val="6E6158"/>
        </w:rPr>
        <w:t>common</w:t>
      </w:r>
      <w:r>
        <w:rPr>
          <w:color w:val="6E6158"/>
          <w:spacing w:val="23"/>
        </w:rPr>
        <w:t> </w:t>
      </w:r>
      <w:r>
        <w:rPr>
          <w:color w:val="6E6158"/>
        </w:rPr>
        <w:t>interest</w:t>
      </w:r>
      <w:r>
        <w:rPr>
          <w:color w:val="6E6158"/>
          <w:spacing w:val="23"/>
        </w:rPr>
        <w:t> </w:t>
      </w:r>
      <w:r>
        <w:rPr>
          <w:color w:val="6E6158"/>
        </w:rPr>
        <w:t>developments,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contract</w:t>
      </w:r>
    </w:p>
    <w:p>
      <w:pPr>
        <w:pStyle w:val="BodyText"/>
        <w:spacing w:line="292" w:lineRule="auto"/>
        <w:ind w:left="104" w:right="98"/>
      </w:pPr>
      <w:r>
        <w:rPr>
          <w:color w:val="6E6158"/>
        </w:rPr>
        <w:t>negotiations. His past experience includes successfully disputing $6 million tax liability imposed </w:t>
      </w:r>
      <w:r>
        <w:rPr>
          <w:color w:val="6E6158"/>
        </w:rPr>
        <w:t>by</w:t>
      </w:r>
      <w:r>
        <w:rPr>
          <w:color w:val="6E6158"/>
          <w:spacing w:val="40"/>
        </w:rPr>
        <w:t> </w:t>
      </w:r>
      <w:r>
        <w:rPr>
          <w:color w:val="6E6158"/>
        </w:rPr>
        <w:t>the Franchise Tax Board, and closing a $100M syndicated credit agreement for a multinational</w:t>
      </w:r>
      <w:r>
        <w:rPr>
          <w:color w:val="6E6158"/>
          <w:spacing w:val="40"/>
        </w:rPr>
        <w:t> </w:t>
      </w:r>
      <w:r>
        <w:rPr>
          <w:color w:val="6E6158"/>
        </w:rPr>
        <w:t>agricultural corporation.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 w:after="7"/>
        <w:ind w:left="356"/>
      </w:pP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Diego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spacing w:line="32" w:lineRule="exact"/>
        <w:ind w:left="234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11" coordorigin="0,0" coordsize="33,33">
                <v:shape style="position:absolute;left:0;top:0;width:33;height:33" id="docshape12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8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1378727</wp:posOffset>
                </wp:positionH>
                <wp:positionV relativeFrom="paragraph">
                  <wp:posOffset>72691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5.723744pt;width:1.65pt;height:1.65pt;mso-position-horizontal-relative:page;mso-position-vertical-relative:paragraph;z-index:15729664" id="docshape13" coordorigin="2171,114" coordsize="33,33" path="m2192,147l2183,147,2179,145,2173,139,2171,135,2171,126,2173,122,2179,116,2183,114,2192,114,2196,116,2202,122,2204,126,2204,131,2204,135,2202,139,2196,145,2192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L.L.M.</w:t>
      </w:r>
      <w:r>
        <w:rPr>
          <w:color w:val="6E6158"/>
          <w:spacing w:val="7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Taxation</w:t>
      </w:r>
    </w:p>
    <w:p>
      <w:pPr>
        <w:pStyle w:val="BodyText"/>
        <w:spacing w:before="17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174876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69782pt;width:1.65pt;height:1.65pt;mso-position-horizontal-relative:page;mso-position-vertical-relative:paragraph;z-index:15730176" id="docshape14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Davis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left="356" w:right="68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152384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98805pt;width:1.65pt;height:1.65pt;mso-position-horizontal-relative:page;mso-position-vertical-relative:paragraph;z-index:15730688" id="docshape15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415917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4942pt;width:1.65pt;height:1.65pt;mso-position-horizontal-relative:page;mso-position-vertical-relative:paragraph;z-index:15731200" id="docshape16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</w:t>
      </w:r>
      <w:r>
        <w:rPr>
          <w:color w:val="6E6158"/>
          <w:spacing w:val="-2"/>
        </w:rPr>
        <w:t>ERISA</w:t>
      </w:r>
    </w:p>
    <w:p>
      <w:pPr>
        <w:pStyle w:val="BodyText"/>
        <w:spacing w:line="427" w:lineRule="auto"/>
        <w:ind w:left="356" w:right="68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63832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26196pt;width:1.65pt;height:1.65pt;mso-position-horizontal-relative:page;mso-position-vertical-relative:paragraph;z-index:15731712" id="docshape17" coordorigin="1675,101" coordsize="33,33" path="m1696,133l1687,133,1683,131,1676,125,1675,121,1675,112,1676,108,1683,102,1687,101,1696,101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322198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69963pt;width:1.65pt;height:1.65pt;mso-position-horizontal-relative:page;mso-position-vertical-relative:paragraph;z-index:15732224" id="docshape18" coordorigin="1675,507" coordsize="33,33" path="m1696,540l1687,540,1683,538,1676,532,1675,528,1675,519,1676,515,1683,509,1687,507,1696,507,1699,509,1706,515,1707,519,1707,524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Financial </w:t>
      </w:r>
      <w:r>
        <w:rPr>
          <w:color w:val="6E6158"/>
        </w:rPr>
        <w:t>Restructuring Real Estate</w:t>
      </w:r>
    </w:p>
    <w:p>
      <w:pPr>
        <w:pStyle w:val="BodyText"/>
        <w:spacing w:line="226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53948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247876pt;width:1.65pt;height:1.65pt;mso-position-horizontal-relative:page;mso-position-vertical-relative:paragraph;z-index:15732736" id="docshape19" coordorigin="1675,85" coordsize="33,33" path="m1696,118l1687,118,1683,116,1676,110,1675,106,1675,97,1676,93,1683,87,1687,85,1696,85,1699,87,1706,93,1707,97,1707,101,1707,106,1706,110,1699,116,1696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before="39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8"/>
        <w:ind w:left="356"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208621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893pt;width:1.65pt;height:1.65pt;mso-position-horizontal-relative:page;mso-position-vertical-relative:paragraph;z-index:15733248" id="docshape20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disputed a $6M tax liability imposed by the Franchise Tax Board related to a Bitwise transaction.</w:t>
      </w:r>
    </w:p>
    <w:p>
      <w:pPr>
        <w:pStyle w:val="BodyText"/>
        <w:spacing w:line="292" w:lineRule="auto" w:before="132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7742pt;width:1.65pt;height:1.65pt;mso-position-horizontal-relative:page;mso-position-vertical-relative:paragraph;z-index:15733760" id="docshape21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Negotiated and closed a $100M syndicated credit agreement for a multinational </w:t>
      </w:r>
      <w:r>
        <w:rPr>
          <w:color w:val="6E6158"/>
        </w:rPr>
        <w:t>agricultural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corporation.</w:t>
      </w:r>
    </w:p>
    <w:p>
      <w:pPr>
        <w:pStyle w:val="BodyText"/>
        <w:spacing w:before="12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142809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4841pt;width:1.65pt;height:1.65pt;mso-position-horizontal-relative:page;mso-position-vertical-relative:paragraph;z-index:15734272" id="docshape22" coordorigin="1675,225" coordsize="33,33" path="m1696,257l1687,257,1683,256,1676,250,1675,246,1675,237,1676,233,1683,226,1687,225,1696,225,1699,226,1706,233,1707,237,1707,241,1707,246,1706,250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reverse</w:t>
      </w:r>
      <w:r>
        <w:rPr>
          <w:color w:val="6E6158"/>
          <w:spacing w:val="13"/>
        </w:rPr>
        <w:t> </w:t>
      </w:r>
      <w:r>
        <w:rPr>
          <w:color w:val="6E6158"/>
        </w:rPr>
        <w:t>triangular</w:t>
      </w:r>
      <w:r>
        <w:rPr>
          <w:color w:val="6E6158"/>
          <w:spacing w:val="14"/>
        </w:rPr>
        <w:t> </w:t>
      </w:r>
      <w:r>
        <w:rPr>
          <w:color w:val="6E6158"/>
        </w:rPr>
        <w:t>mergers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several</w:t>
      </w:r>
      <w:r>
        <w:rPr>
          <w:color w:val="6E6158"/>
          <w:spacing w:val="13"/>
        </w:rPr>
        <w:t> </w:t>
      </w:r>
      <w:r>
        <w:rPr>
          <w:color w:val="6E6158"/>
        </w:rPr>
        <w:t>other</w:t>
      </w:r>
      <w:r>
        <w:rPr>
          <w:color w:val="6E6158"/>
          <w:spacing w:val="14"/>
        </w:rPr>
        <w:t> </w:t>
      </w:r>
      <w:r>
        <w:rPr>
          <w:color w:val="6E6158"/>
        </w:rPr>
        <w:t>corporate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reorganizations.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  <w:ind w:left="56" w:right="773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right="773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157782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3852pt;width:1.65pt;height:1.65pt;mso-position-horizontal-relative:page;mso-position-vertical-relative:paragraph;z-index:15734784" id="docshape23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cballing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2025-10-09T19:15:24Z</dcterms:created>
  <dcterms:modified xsi:type="dcterms:W3CDTF">2025-10-09T19:15:24Z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2025-10-09T00:00:00Z</vt:filetime>
  </property>
  <property fmtid="{D5CDD505-2E9C-101B-9397-08002B2CF9AE}" pid="5" name="Producer">
    <vt:lpwstr>Skia/PDF m117</vt:lpwstr>
  </property>
</Properties>
</file>