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16015" y="763308"/>
                            <a:ext cx="12807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JARED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MARSHALL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1353" y="2500373"/>
                            <a:ext cx="15297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jmarshall@fennemorelaw.com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8;top:1762;width:201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JARED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MARSHALL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11;top:4497;width:240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jmarshall@fennemorelaw.com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JARED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MARSHALL</w:t>
      </w:r>
    </w:p>
    <w:p>
      <w:pPr>
        <w:pStyle w:val="BodyText"/>
        <w:spacing w:line="302" w:lineRule="auto" w:before="146"/>
        <w:ind w:left="104" w:right="284"/>
      </w:pPr>
      <w:r>
        <w:rPr>
          <w:color w:val="6E6158"/>
        </w:rPr>
        <w:t>Jared Marshall is a director in Fennemore’s Fresno office, where he focuses his practice on trust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litigation.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beneficiaries,</w:t>
      </w:r>
      <w:r>
        <w:rPr>
          <w:color w:val="6E6158"/>
          <w:spacing w:val="34"/>
        </w:rPr>
        <w:t> </w:t>
      </w:r>
      <w:r>
        <w:rPr>
          <w:color w:val="6E6158"/>
        </w:rPr>
        <w:t>heirs,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</w:t>
      </w:r>
      <w:r>
        <w:rPr>
          <w:color w:val="6E6158"/>
          <w:spacing w:val="34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left="104" w:right="284"/>
      </w:pPr>
      <w:r>
        <w:rPr>
          <w:color w:val="6E6158"/>
        </w:rPr>
        <w:t>complex and often sensitive disputes involving inheritance, trust and estate administration,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 care of elderly or incapacitated individuals.</w:t>
      </w:r>
    </w:p>
    <w:p>
      <w:pPr>
        <w:pStyle w:val="BodyText"/>
        <w:spacing w:line="295" w:lineRule="auto" w:before="188"/>
        <w:ind w:left="104" w:right="284"/>
      </w:pPr>
      <w:r>
        <w:rPr>
          <w:color w:val="6E6158"/>
        </w:rPr>
        <w:t>Jared combines strategic insight with practical experience to guide clients through </w:t>
      </w:r>
      <w:r>
        <w:rPr>
          <w:color w:val="6E6158"/>
        </w:rPr>
        <w:t>emotionally</w:t>
      </w:r>
      <w:r>
        <w:rPr>
          <w:color w:val="6E6158"/>
          <w:spacing w:val="40"/>
        </w:rPr>
        <w:t> </w:t>
      </w:r>
      <w:r>
        <w:rPr>
          <w:color w:val="6E6158"/>
        </w:rPr>
        <w:t>charged matters such as challenges to estate planning documents, asset distribution disputes,</w:t>
      </w:r>
      <w:r>
        <w:rPr>
          <w:color w:val="6E6158"/>
          <w:spacing w:val="40"/>
        </w:rPr>
        <w:t> </w:t>
      </w:r>
      <w:r>
        <w:rPr>
          <w:color w:val="6E6158"/>
        </w:rPr>
        <w:t>and issues involving fiduciary conduct. Known for his balanced approach, he works to resolve</w:t>
      </w:r>
      <w:r>
        <w:rPr>
          <w:color w:val="6E6158"/>
          <w:spacing w:val="40"/>
        </w:rPr>
        <w:t> </w:t>
      </w:r>
      <w:r>
        <w:rPr>
          <w:color w:val="6E6158"/>
        </w:rPr>
        <w:t>conflicts efficiently and effectively—whether through negotiation or in court.</w:t>
      </w:r>
    </w:p>
    <w:p>
      <w:pPr>
        <w:pStyle w:val="BodyText"/>
        <w:spacing w:before="196"/>
        <w:ind w:left="104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practice,</w:t>
      </w:r>
      <w:r>
        <w:rPr>
          <w:color w:val="6E6158"/>
          <w:spacing w:val="10"/>
        </w:rPr>
        <w:t> </w:t>
      </w:r>
      <w:r>
        <w:rPr>
          <w:color w:val="6E6158"/>
        </w:rPr>
        <w:t>Jared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dedicated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education.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</w:t>
      </w:r>
    </w:p>
    <w:p>
      <w:pPr>
        <w:pStyle w:val="BodyText"/>
        <w:spacing w:line="292" w:lineRule="auto" w:before="60"/>
        <w:ind w:left="104" w:right="284"/>
      </w:pPr>
      <w:r>
        <w:rPr>
          <w:color w:val="6E6158"/>
        </w:rPr>
        <w:t>Adjunct Professor at Fresno City College, where he teaches Probate, and has previously taught</w:t>
      </w:r>
      <w:r>
        <w:rPr>
          <w:color w:val="6E6158"/>
          <w:spacing w:val="40"/>
        </w:rPr>
        <w:t> </w:t>
      </w:r>
      <w:r>
        <w:rPr>
          <w:color w:val="6E6158"/>
        </w:rPr>
        <w:t>Advanced Legal Research and Writing at Fresno City College and Moot Court at San Joaquin</w:t>
      </w:r>
      <w:r>
        <w:rPr>
          <w:color w:val="6E6158"/>
          <w:spacing w:val="40"/>
        </w:rPr>
        <w:t> </w:t>
      </w:r>
      <w:r>
        <w:rPr>
          <w:color w:val="6E6158"/>
        </w:rPr>
        <w:t>College of Law. He also coached San Joaquin’s Traynor Moot Court team, mentoring law</w:t>
      </w:r>
      <w:r>
        <w:rPr>
          <w:color w:val="6E6158"/>
          <w:spacing w:val="40"/>
        </w:rPr>
        <w:t> </w:t>
      </w:r>
      <w:r>
        <w:rPr>
          <w:color w:val="6E6158"/>
        </w:rPr>
        <w:t>students in advocacy and oral argument.</w:t>
      </w:r>
    </w:p>
    <w:p>
      <w:pPr>
        <w:pStyle w:val="BodyText"/>
        <w:spacing w:line="295" w:lineRule="auto" w:before="206"/>
        <w:ind w:left="104" w:right="114"/>
      </w:pPr>
      <w:r>
        <w:rPr>
          <w:color w:val="6E6158"/>
        </w:rPr>
        <w:t>Jared</w:t>
      </w:r>
      <w:r>
        <w:rPr>
          <w:color w:val="6E6158"/>
          <w:spacing w:val="17"/>
        </w:rPr>
        <w:t> </w:t>
      </w:r>
      <w:r>
        <w:rPr>
          <w:color w:val="6E6158"/>
        </w:rPr>
        <w:t>earned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degree</w:t>
      </w:r>
      <w:r>
        <w:rPr>
          <w:color w:val="6E6158"/>
          <w:spacing w:val="17"/>
        </w:rPr>
        <w:t> </w:t>
      </w:r>
      <w:r>
        <w:rPr>
          <w:color w:val="6E6158"/>
        </w:rPr>
        <w:t>from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University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served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clerk to the Honorable Lawrence J. O’Neill in the United States District Court for the Eastern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California. He is a member of the California State Bar, the Fresno County Bar Association, and the</w:t>
      </w:r>
      <w:r>
        <w:rPr>
          <w:color w:val="6E6158"/>
          <w:spacing w:val="40"/>
        </w:rPr>
        <w:t> </w:t>
      </w:r>
      <w:r>
        <w:rPr>
          <w:color w:val="6E6158"/>
        </w:rPr>
        <w:t>Association of Business Trial Lawyers.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6" w:right="3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157569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701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415934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0751pt;width:1.65pt;height:1.65pt;mso-position-horizontal-relative:page;mso-position-vertical-relative:paragraph;z-index:15729664" id="docshape1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California, Gould School of </w:t>
      </w:r>
      <w:r>
        <w:rPr>
          <w:color w:val="6E6158"/>
        </w:rPr>
        <w:t>Law</w:t>
      </w:r>
      <w:r>
        <w:rPr>
          <w:color w:val="6E6158"/>
        </w:rPr>
        <w:t> B.A.,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Davis,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honors</w:t>
      </w:r>
    </w:p>
    <w:p>
      <w:pPr>
        <w:spacing w:before="16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0" w:lineRule="auto" w:before="1"/>
        <w:ind w:left="356" w:right="58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65028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20378pt;width:1.65pt;height:1.65pt;mso-position-horizontal-relative:page;mso-position-vertical-relative:paragraph;z-index:15730176" id="docshape13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323394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64121pt;width:1.65pt;height:1.65pt;mso-position-horizontal-relative:page;mso-position-vertical-relative:paragraph;z-index:15730688" id="docshape14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 and Estate </w:t>
      </w:r>
      <w:r>
        <w:rPr>
          <w:color w:val="6E6158"/>
        </w:rPr>
        <w:t>Administration Trust and Estate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8"/>
        <w:ind w:left="356" w:right="7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200" id="docshape15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1712" id="docshape16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637508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0.197517pt;width:1.65pt;height:1.65pt;mso-position-horizontal-relative:page;mso-position-vertical-relative:paragraph;z-index:15732224" id="docshape17" coordorigin="1675,1004" coordsize="33,33" path="m1696,1037l1687,1037,1683,1035,1676,1029,1675,1025,1675,1016,1676,1012,1683,1006,1687,1004,1696,1004,1699,1006,1706,1012,1707,1016,1707,1020,1707,1025,1706,1029,1699,1035,1696,10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895874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0.541267pt;width:1.65pt;height:1.65pt;mso-position-horizontal-relative:page;mso-position-vertical-relative:paragraph;z-index:15732736" id="docshape18" coordorigin="1675,1411" coordsize="33,33" path="m1696,1443l1687,1443,1683,1442,1676,1435,1675,1432,1675,1423,1676,1419,1683,1412,1687,1411,1696,1411,1699,1412,1706,1419,1707,1423,1707,1427,1707,1432,1706,1435,1699,1442,1696,14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1159407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1.291893pt;width:1.65pt;height:1.65pt;mso-position-horizontal-relative:page;mso-position-vertical-relative:paragraph;z-index:15733248" id="docshape19" coordorigin="1675,1826" coordsize="33,33" path="m1696,1858l1687,1858,1683,1857,1676,1850,1675,1847,1675,1838,1676,1834,1683,1827,1687,1826,1696,1826,1699,1827,1706,1834,1707,1838,1707,1842,1707,1847,1706,1850,1699,1857,1696,18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 Planning Intellectual </w:t>
      </w:r>
      <w:r>
        <w:rPr>
          <w:color w:val="6E6158"/>
        </w:rPr>
        <w:t>Property Business Litigation Estate Litigation</w:t>
      </w:r>
    </w:p>
    <w:p>
      <w:pPr>
        <w:pStyle w:val="Heading2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139"/>
        <w:ind w:left="356" w:right="250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168217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45443pt;width:1.65pt;height:1.65pt;mso-position-horizontal-relative:page;mso-position-vertical-relative:paragraph;z-index:15733760" id="docshape20" coordorigin="1675,265" coordsize="33,33" path="m1696,297l1687,297,1683,296,1676,290,1675,286,1675,277,1676,273,1683,266,1687,265,1696,265,1699,266,1706,273,1707,277,1707,281,1707,286,1706,290,1699,296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436917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402943pt;width:1.65pt;height:1.65pt;mso-position-horizontal-relative:page;mso-position-vertical-relative:paragraph;z-index:15734272" id="docshape21" coordorigin="1675,688" coordsize="33,33" path="m1696,721l1687,721,1683,719,1676,713,1675,709,1675,700,1676,696,1683,690,1687,688,1696,688,1699,690,1706,696,1707,700,1707,704,1707,709,1706,713,1699,719,1696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pacing w:val="-2"/>
          <w:position w:val="7"/>
          <w:sz w:val="16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2021,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z w:val="19"/>
        </w:rPr>
        <w:t>2025 Peter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Knecht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Memorial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Angeles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Copyright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Society</w:t>
      </w:r>
    </w:p>
    <w:p>
      <w:pPr>
        <w:pStyle w:val="Heading2"/>
        <w:spacing w:before="16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245953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6404pt;width:1.65pt;height:1.65pt;mso-position-horizontal-relative:page;mso-position-vertical-relative:paragraph;z-index:15734784" id="docshape22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“Enjoy yourself.</w:t>
        </w:r>
        <w:r>
          <w:rPr>
            <w:color w:val="F5821F"/>
            <w:spacing w:val="74"/>
          </w:rPr>
          <w:t> </w:t>
        </w:r>
        <w:r>
          <w:rPr>
            <w:color w:val="F5821F"/>
          </w:rPr>
          <w:t>The process will be stressful and difficult, but it will also be a lot of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fun,” Fennemore Blog, January 5, 2023</w:t>
        </w:r>
      </w:hyperlink>
    </w:p>
    <w:p>
      <w:pPr>
        <w:pStyle w:val="BodyText"/>
        <w:spacing w:line="292" w:lineRule="auto" w:before="132"/>
        <w:ind w:left="356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236058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7252pt;width:1.65pt;height:1.65pt;mso-position-horizontal-relative:page;mso-position-vertical-relative:paragraph;z-index:15735296" id="docshape23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Podcast, “Understanding the Difference Between a Will and a Trust with Jared Marshall,”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Fenn.Talks Podcast, May 20, 2021</w:t>
        </w:r>
      </w:hyperlink>
    </w:p>
    <w:p>
      <w:pPr>
        <w:pStyle w:val="BodyText"/>
        <w:spacing w:line="29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230520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1226pt;width:1.65pt;height:1.65pt;mso-position-horizontal-relative:page;mso-position-vertical-relative:paragraph;z-index:15735808" id="docshape24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Research and Writing for Law and Motion,” California Alliance of Paralegal Associations Annual Conference, 2020</w:t>
      </w:r>
    </w:p>
    <w:p>
      <w:pPr>
        <w:pStyle w:val="Heading2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6" w:right="4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152961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4181pt;width:1.65pt;height:1.65pt;mso-position-horizontal-relative:page;mso-position-vertical-relative:paragraph;z-index:15736320" id="docshape25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416494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4804pt;width:1.65pt;height:1.65pt;mso-position-horizontal-relative:page;mso-position-vertical-relative:paragraph;z-index:15736832" id="docshape26" coordorigin="1675,656" coordsize="33,33" path="m1696,688l1687,688,1683,687,1676,681,1675,677,1675,668,1676,664,1683,657,1687,656,1696,656,1699,657,1706,664,1707,668,1707,672,1707,677,1706,681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Association of Business Trial Lawyers Adjunct Professor, Fresno City College, </w:t>
      </w:r>
      <w:r>
        <w:rPr>
          <w:color w:val="6E6158"/>
        </w:rPr>
        <w:t>Probate</w:t>
      </w:r>
    </w:p>
    <w:p>
      <w:pPr>
        <w:pStyle w:val="BodyText"/>
        <w:spacing w:line="427" w:lineRule="auto"/>
        <w:ind w:left="356" w:righ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63774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1578pt;width:1.65pt;height:1.65pt;mso-position-horizontal-relative:page;mso-position-vertical-relative:paragraph;z-index:15737344" id="docshape27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322139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65345pt;width:1.65pt;height:1.65pt;mso-position-horizontal-relative:page;mso-position-vertical-relative:paragraph;z-index:15737856" id="docshape28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Adjunct Professor, Fresno City College, Advanced Legal Research and Writing Former Adjunct Professor, San Joaquin College of Law,</w:t>
      </w:r>
      <w:r>
        <w:rPr>
          <w:color w:val="6E6158"/>
          <w:spacing w:val="80"/>
        </w:rPr>
        <w:t> </w:t>
      </w:r>
      <w:r>
        <w:rPr>
          <w:color w:val="6E6158"/>
        </w:rPr>
        <w:t>Moot Court</w:t>
      </w:r>
    </w:p>
    <w:p>
      <w:pPr>
        <w:pStyle w:val="BodyText"/>
        <w:spacing w:line="420" w:lineRule="auto"/>
        <w:ind w:left="356" w:right="25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53889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43258pt;width:1.65pt;height:1.65pt;mso-position-horizontal-relative:page;mso-position-vertical-relative:paragraph;z-index:15738368" id="docshape29" coordorigin="1675,85" coordsize="33,33" path="m1696,117l1687,117,1683,116,1676,109,1675,106,1675,97,1676,93,1683,86,1687,85,1696,85,1699,86,1706,93,1707,97,1707,101,1707,106,1706,109,1699,116,1696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317422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93874pt;width:1.65pt;height:1.65pt;mso-position-horizontal-relative:page;mso-position-vertical-relative:paragraph;z-index:15738880" id="docshape30" coordorigin="1675,500" coordsize="33,33" path="m1696,532l1687,532,1683,531,1676,524,1675,521,1675,512,1676,508,1683,501,1687,500,1696,500,1699,501,1706,508,1707,512,1707,516,1707,521,1706,524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Coach, San Joaquin College of Law Traynor Moot Court </w:t>
      </w:r>
      <w:r>
        <w:rPr>
          <w:color w:val="6E6158"/>
        </w:rPr>
        <w:t>team Past President, Fresno County Young Lawyers Association</w:t>
      </w:r>
    </w:p>
    <w:p>
      <w:pPr>
        <w:pStyle w:val="Heading2"/>
        <w:spacing w:before="15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157689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525pt;width:1.65pt;height:1.65pt;mso-position-horizontal-relative:page;mso-position-vertical-relative:paragraph;z-index:15739392" id="docshape3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175419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2563pt;width:1.65pt;height:1.65pt;mso-position-horizontal-relative:page;mso-position-vertical-relative:paragraph;z-index:15739904" id="docshape32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175456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474pt;width:1.65pt;height:1.65pt;mso-position-horizontal-relative:page;mso-position-vertical-relative:paragraph;z-index:15740416" id="docshape33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175406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1535pt;width:1.65pt;height:1.65pt;mso-position-horizontal-relative:page;mso-position-vertical-relative:paragraph;z-index:15740928" id="docshape34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175356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7573pt;width:1.65pt;height:1.65pt;mso-position-horizontal-relative:page;mso-position-vertical-relative:paragraph;z-index:15741440" id="docshape3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marshall@fennemorelaw.com" TargetMode="External"/><Relationship Id="rId11" Type="http://schemas.openxmlformats.org/officeDocument/2006/relationships/hyperlink" Target="https://www.fennemorelaw.com/enjoy-yourself-the-process-will-be-stressful-and-difficult-but-it-will-also-be-a-lot-of-fun/" TargetMode="External"/><Relationship Id="rId12" Type="http://schemas.openxmlformats.org/officeDocument/2006/relationships/hyperlink" Target="https://www.youtube.com/watch?v=iRJdLnzX0u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2025-10-09T21:54:05Z</dcterms:created>
  <dcterms:modified xsi:type="dcterms:W3CDTF">2025-10-09T21:54:05Z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