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55035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5503545"/>
                          <a:chExt cx="6066790" cy="5503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42955"/>
                            <a:ext cx="606679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860550">
                                <a:moveTo>
                                  <a:pt x="6066424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37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337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74390">
                                <a:moveTo>
                                  <a:pt x="3033212" y="3374254"/>
                                </a:moveTo>
                                <a:lnTo>
                                  <a:pt x="0" y="337425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7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11860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7617" y="763308"/>
                            <a:ext cx="1437640" cy="157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JEROME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“JERRY” GROSSMAN</w:t>
                              </w:r>
                            </w:p>
                            <w:p>
                              <w:pPr>
                                <w:spacing w:before="56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1937" y="2608887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7690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7690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8896" y="2980933"/>
                            <a:ext cx="15951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jgrossman@fennemorelaw.com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4236590"/>
                            <a:ext cx="406781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5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sense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meet;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78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Ther</w:t>
                              </w:r>
                              <w:r>
                                <w:rPr>
                                  <w:color w:val="FFFFFF"/>
                                  <w:spacing w:val="-34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3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9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somethin</w:t>
                              </w:r>
                              <w:r>
                                <w:rPr>
                                  <w:color w:val="FFFFFF"/>
                                  <w:spacing w:val="-73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6"/>
                                  <w:position w:val="28"/>
                                  <w:sz w:val="16"/>
                                </w:rPr>
                                <w:t>portan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82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yoursel</w:t>
                              </w:r>
                              <w:r>
                                <w:rPr>
                                  <w:color w:val="FFFFFF"/>
                                  <w:spacing w:val="-50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6"/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56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484"/>
                                  <w:position w:val="-56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 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6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Roger</w:t>
                              </w:r>
                              <w:r>
                                <w:rPr>
                                  <w:color w:val="FFFFFF"/>
                                  <w:spacing w:val="-509"/>
                                  <w:position w:val="-5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rson</w:t>
                              </w:r>
                              <w:r>
                                <w:rPr>
                                  <w:color w:val="FFFFFF"/>
                                  <w:spacing w:val="-550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23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pe</w:t>
                              </w:r>
                              <w:r>
                                <w:rPr>
                                  <w:color w:val="FFFFFF"/>
                                  <w:spacing w:val="-54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eav</w:t>
                              </w:r>
                              <w:r>
                                <w:rPr>
                                  <w:color w:val="FFFFFF"/>
                                  <w:spacing w:val="-44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ple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position w:val="28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27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8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ver</w:t>
                              </w:r>
                              <w:r>
                                <w:rPr>
                                  <w:color w:val="FFFFFF"/>
                                  <w:spacing w:val="-41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ay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9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meetin</w:t>
                              </w:r>
                              <w:r>
                                <w:rPr>
                                  <w:color w:val="FFFFFF"/>
                                  <w:spacing w:val="-616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eve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8"/>
                                  <w:position w:val="28"/>
                                  <w:sz w:val="16"/>
                                </w:rPr>
                                <w:t>ev</w:t>
                              </w:r>
                              <w:r>
                                <w:rPr>
                                  <w:color w:val="FFFFFF"/>
                                  <w:spacing w:val="2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6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34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dr</w:t>
                              </w:r>
                              <w:r>
                                <w:rPr>
                                  <w:color w:val="FFFFFF"/>
                                  <w:spacing w:val="-53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anothe</w:t>
                              </w:r>
                              <w:r>
                                <w:rPr>
                                  <w:color w:val="FFFFFF"/>
                                  <w:spacing w:val="-54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4851" y="434029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433.35pt;mso-position-horizontal-relative:page;mso-position-vertical-relative:page;z-index:15728640" id="docshapegroup1" coordorigin="1341,560" coordsize="9554,8667">
                <v:rect style="position:absolute;left:1341;top:6296;width:9554;height:293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5314" type="#_x0000_t75" id="docshape4" stroked="false">
                  <v:imagedata r:id="rId7" o:title=""/>
                </v:shape>
                <v:rect style="position:absolute;left:6117;top:983;width:4777;height:5314" id="docshape5" filled="true" fillcolor="#262424" stroked="false">
                  <v:fill type="solid"/>
                </v:rect>
                <v:shape style="position:absolute;left:6842;top:3896;width:3337;height:505" id="docshape6" coordorigin="6842,3896" coordsize="3337,505" path="m10179,4393l6842,4393,6842,4401,10179,4401,10179,4393xm10179,3896l6842,3896,6842,3905,10179,3905,10179,389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4;top:1762;width:2264;height:2480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JEROME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“JERRY” GROSSMAN</w:t>
                        </w:r>
                      </w:p>
                      <w:p>
                        <w:pPr>
                          <w:spacing w:before="56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4668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920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619.344.2992</w:t>
                        </w:r>
                      </w:p>
                    </w:txbxContent>
                  </v:textbox>
                  <w10:wrap type="none"/>
                </v:shape>
                <v:shape style="position:absolute;left:8816;top:4920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60;top:5254;width:251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jgrossman@fennemorelaw.com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7231;width:6406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5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could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sense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meet;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78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Ther</w:t>
                        </w:r>
                        <w:r>
                          <w:rPr>
                            <w:color w:val="FFFFFF"/>
                            <w:spacing w:val="-34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3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9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somethin</w:t>
                        </w:r>
                        <w:r>
                          <w:rPr>
                            <w:color w:val="FFFFFF"/>
                            <w:spacing w:val="-73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6"/>
                            <w:position w:val="28"/>
                            <w:sz w:val="16"/>
                          </w:rPr>
                          <w:t>portan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82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35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yoursel</w:t>
                        </w:r>
                        <w:r>
                          <w:rPr>
                            <w:color w:val="FFFFFF"/>
                            <w:spacing w:val="-50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36"/>
                            <w:sz w:val="16"/>
                          </w:rPr>
                          <w:t>ha</w:t>
                        </w:r>
                        <w:r>
                          <w:rPr>
                            <w:color w:val="FFFFFF"/>
                            <w:spacing w:val="-36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8"/>
                            <w:position w:val="-56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484"/>
                            <w:position w:val="-56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z w:val="16"/>
                          </w:rPr>
                          <w:t>t 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6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5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Roger</w:t>
                        </w:r>
                        <w:r>
                          <w:rPr>
                            <w:color w:val="FFFFFF"/>
                            <w:spacing w:val="-509"/>
                            <w:position w:val="-5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rson</w:t>
                        </w:r>
                        <w:r>
                          <w:rPr>
                            <w:color w:val="FFFFFF"/>
                            <w:spacing w:val="-550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230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pe</w:t>
                        </w:r>
                        <w:r>
                          <w:rPr>
                            <w:color w:val="FFFFFF"/>
                            <w:spacing w:val="-54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eav</w:t>
                        </w:r>
                        <w:r>
                          <w:rPr>
                            <w:color w:val="FFFFFF"/>
                            <w:spacing w:val="-441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ple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position w:val="28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2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27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8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ver</w:t>
                        </w:r>
                        <w:r>
                          <w:rPr>
                            <w:color w:val="FFFFFF"/>
                            <w:spacing w:val="-41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ay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9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meetin</w:t>
                        </w:r>
                        <w:r>
                          <w:rPr>
                            <w:color w:val="FFFFFF"/>
                            <w:spacing w:val="-616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eve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8"/>
                            <w:position w:val="28"/>
                            <w:sz w:val="16"/>
                          </w:rPr>
                          <w:t>ev</w:t>
                        </w:r>
                        <w:r>
                          <w:rPr>
                            <w:color w:val="FFFFFF"/>
                            <w:spacing w:val="2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28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6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34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dr</w:t>
                        </w:r>
                        <w:r>
                          <w:rPr>
                            <w:color w:val="FFFFFF"/>
                            <w:spacing w:val="-53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anothe</w:t>
                        </w:r>
                        <w:r>
                          <w:rPr>
                            <w:color w:val="FFFFFF"/>
                            <w:spacing w:val="-54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of.</w:t>
                        </w:r>
                      </w:p>
                    </w:txbxContent>
                  </v:textbox>
                  <w10:wrap type="none"/>
                </v:shape>
                <v:shape style="position:absolute;left:8986;top:7395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9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JEROME</w:t>
      </w:r>
      <w:r>
        <w:rPr>
          <w:color w:val="FF8100"/>
          <w:spacing w:val="7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"JERRY"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GROSSMAN</w:t>
      </w:r>
    </w:p>
    <w:p>
      <w:pPr>
        <w:pStyle w:val="BodyText"/>
        <w:spacing w:line="295" w:lineRule="auto" w:before="147"/>
        <w:ind w:left="104" w:right="330"/>
      </w:pPr>
      <w:r>
        <w:rPr>
          <w:color w:val="6E6158"/>
        </w:rPr>
        <w:t>Jerome “Jerry” Grossman is an Of Counsel Attorney in our San Diego office who has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real estate finance law and secured financing. Jerry has represented clients in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general commercial and real estate finance matters for more than 40 years. He</w:t>
      </w:r>
      <w:r>
        <w:rPr>
          <w:color w:val="6E6158"/>
          <w:spacing w:val="40"/>
        </w:rPr>
        <w:t> </w:t>
      </w:r>
      <w:r>
        <w:rPr>
          <w:color w:val="6E6158"/>
        </w:rPr>
        <w:t>focuses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Uniform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Code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  <w:r>
        <w:rPr>
          <w:color w:val="6E6158"/>
          <w:spacing w:val="35"/>
        </w:rPr>
        <w:t> </w:t>
      </w: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</w:p>
    <w:p>
      <w:pPr>
        <w:pStyle w:val="BodyText"/>
        <w:spacing w:line="292" w:lineRule="auto" w:before="1"/>
        <w:ind w:left="104" w:right="330"/>
      </w:pPr>
      <w:r>
        <w:rPr>
          <w:color w:val="6E6158"/>
        </w:rPr>
        <w:t>transactions, and other financing transactions (including securitized financings) – from </w:t>
      </w:r>
      <w:r>
        <w:rPr>
          <w:color w:val="6E6158"/>
        </w:rPr>
        <w:t>the initiation</w:t>
      </w:r>
      <w:r>
        <w:rPr>
          <w:color w:val="6E6158"/>
          <w:spacing w:val="36"/>
        </w:rPr>
        <w:t> </w:t>
      </w:r>
      <w:r>
        <w:rPr>
          <w:color w:val="6E6158"/>
        </w:rPr>
        <w:t>stage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workouts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restructurings</w:t>
      </w:r>
      <w:r>
        <w:rPr>
          <w:color w:val="6E6158"/>
          <w:spacing w:val="36"/>
        </w:rPr>
        <w:t> </w:t>
      </w:r>
      <w:r>
        <w:rPr>
          <w:color w:val="6E6158"/>
        </w:rPr>
        <w:t>–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third-party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opinions.</w:t>
      </w:r>
    </w:p>
    <w:p>
      <w:pPr>
        <w:pStyle w:val="BodyText"/>
        <w:spacing w:line="295" w:lineRule="auto" w:before="205"/>
        <w:ind w:left="104" w:right="24"/>
      </w:pPr>
      <w:r>
        <w:rPr>
          <w:color w:val="6E6158"/>
        </w:rPr>
        <w:t>Jerry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devoted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representing</w:t>
      </w:r>
      <w:r>
        <w:rPr>
          <w:color w:val="6E6158"/>
          <w:spacing w:val="31"/>
        </w:rPr>
        <w:t> </w:t>
      </w:r>
      <w:r>
        <w:rPr>
          <w:color w:val="6E6158"/>
        </w:rPr>
        <w:t>borrowers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connection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 financings bound for the commercial mortgage-backed securities market, and he continues to</w:t>
      </w:r>
      <w:r>
        <w:rPr>
          <w:color w:val="6E6158"/>
          <w:spacing w:val="40"/>
        </w:rPr>
        <w:t> </w:t>
      </w:r>
      <w:r>
        <w:rPr>
          <w:color w:val="6E6158"/>
        </w:rPr>
        <w:t>represent borrowers in that market.</w:t>
      </w:r>
      <w:r>
        <w:rPr>
          <w:color w:val="6E6158"/>
          <w:spacing w:val="80"/>
        </w:rPr>
        <w:t> </w:t>
      </w:r>
      <w:r>
        <w:rPr>
          <w:color w:val="6E6158"/>
        </w:rPr>
        <w:t>He regularly represents 501(c)(3) organizations in </w:t>
      </w:r>
      <w:r>
        <w:rPr>
          <w:color w:val="6E6158"/>
        </w:rPr>
        <w:t>connection with bond financings of educational facilities, real estate acquisitions, and low-income housing.</w:t>
      </w:r>
      <w:r>
        <w:rPr>
          <w:color w:val="6E6158"/>
          <w:spacing w:val="40"/>
        </w:rPr>
        <w:t> </w:t>
      </w:r>
      <w:r>
        <w:rPr>
          <w:color w:val="6E6158"/>
        </w:rPr>
        <w:t>Since joining Fennemore, Jerry’s practice has expanded to include representation of lenders in</w:t>
      </w:r>
      <w:r>
        <w:rPr>
          <w:color w:val="6E6158"/>
          <w:spacing w:val="40"/>
        </w:rPr>
        <w:t> </w:t>
      </w:r>
      <w:r>
        <w:rPr>
          <w:color w:val="6E6158"/>
        </w:rPr>
        <w:t>transactional aspects of loan restructurings and workouts, and reorganizations.</w:t>
      </w:r>
    </w:p>
    <w:p>
      <w:pPr>
        <w:pStyle w:val="BodyText"/>
        <w:spacing w:line="302" w:lineRule="auto" w:before="193"/>
        <w:ind w:left="104"/>
      </w:pPr>
      <w:r>
        <w:rPr>
          <w:color w:val="6E6158"/>
        </w:rPr>
        <w:t>As Of Counsel, Jerry works to represent clients in a broad range of commercial financing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16"/>
        </w:rPr>
        <w:t> </w:t>
      </w:r>
      <w:r>
        <w:rPr>
          <w:color w:val="6E6158"/>
        </w:rPr>
        <w:t>secured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unsecured,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7"/>
        </w:rPr>
        <w:t> </w:t>
      </w:r>
      <w:r>
        <w:rPr>
          <w:color w:val="6E6158"/>
        </w:rPr>
        <w:t>structured</w:t>
      </w:r>
      <w:r>
        <w:rPr>
          <w:color w:val="6E6158"/>
          <w:spacing w:val="17"/>
        </w:rPr>
        <w:t> </w:t>
      </w:r>
      <w:r>
        <w:rPr>
          <w:color w:val="6E6158"/>
        </w:rPr>
        <w:t>finance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bond</w:t>
      </w:r>
    </w:p>
    <w:p>
      <w:pPr>
        <w:pStyle w:val="BodyText"/>
        <w:spacing w:line="292" w:lineRule="auto"/>
        <w:ind w:left="104" w:right="24"/>
      </w:pPr>
      <w:r>
        <w:rPr>
          <w:color w:val="6E6158"/>
        </w:rPr>
        <w:t>financings of infrastructure and other capital projects—at initiation, after closing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addressing compliance and administration matters, and in the event of default.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152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356" w:right="3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29664" id="docshape1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9811pt;width:1.65pt;height:1.65pt;mso-position-horizontal-relative:page;mso-position-vertical-relative:paragraph;z-index:15730176" id="docshape16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University of California, San Diego, With Highest </w:t>
      </w:r>
      <w:r>
        <w:rPr>
          <w:color w:val="6E6158"/>
        </w:rPr>
        <w:t>Honors</w:t>
      </w:r>
      <w:r>
        <w:rPr>
          <w:color w:val="6E6158"/>
        </w:rPr>
        <w:t> Order of the Coif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6" w:right="6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157866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0464pt;width:1.65pt;height:1.65pt;mso-position-horizontal-relative:page;mso-position-vertical-relative:paragraph;z-index:15730688" id="docshape1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416232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4212pt;width:1.65pt;height:1.65pt;mso-position-horizontal-relative:page;mso-position-vertical-relative:paragraph;z-index:15731200" id="docshape1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Real Estate</w:t>
      </w:r>
    </w:p>
    <w:p>
      <w:pPr>
        <w:pStyle w:val="BodyText"/>
        <w:spacing w:line="427" w:lineRule="auto"/>
        <w:ind w:left="356" w:right="6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63512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0994pt;width:1.65pt;height:1.65pt;mso-position-horizontal-relative:page;mso-position-vertical-relative:paragraph;z-index:15731712" id="docshape19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321878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4744pt;width:1.65pt;height:1.65pt;mso-position-horizontal-relative:page;mso-position-vertical-relative:paragraph;z-index:15732224" id="docshape20" coordorigin="1675,507" coordsize="33,33" path="m1696,539l1687,539,1683,538,1676,532,1675,528,1675,519,1676,515,1683,508,1687,507,1696,507,1699,508,1706,515,1707,519,1707,523,1707,528,1706,532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152"/>
      </w:pPr>
      <w:r>
        <w:rPr>
          <w:color w:val="FF8100"/>
        </w:rPr>
        <w:t>OTHER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EXPERIENCE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157802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5396pt;width:1.65pt;height:1.65pt;mso-position-horizontal-relative:page;mso-position-vertical-relative:paragraph;z-index:15732736" id="docshape21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</w:t>
      </w:r>
    </w:p>
    <w:p>
      <w:pPr>
        <w:pStyle w:val="BodyText"/>
        <w:spacing w:line="427" w:lineRule="auto" w:before="174"/>
        <w:ind w:left="356" w:right="6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174897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1439pt;width:1.65pt;height:1.65pt;mso-position-horizontal-relative:page;mso-position-vertical-relative:paragraph;z-index:15733248" id="docshape2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433262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5189pt;width:1.65pt;height:1.65pt;mso-position-horizontal-relative:page;mso-position-vertical-relative:paragraph;z-index:15733760" id="docshape2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Tax-exempt </w:t>
      </w:r>
      <w:r>
        <w:rPr>
          <w:color w:val="6E6158"/>
        </w:rPr>
        <w:t>financing Secured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transactions</w:t>
      </w:r>
    </w:p>
    <w:p>
      <w:pPr>
        <w:pStyle w:val="Heading1"/>
        <w:spacing w:before="15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3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158062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5841pt;width:1.65pt;height:1.65pt;mso-position-horizontal-relative:page;mso-position-vertical-relative:paragraph;z-index:15734272" id="docshape24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U.S.</w:t>
      </w:r>
      <w:r>
        <w:rPr>
          <w:color w:val="6E6158"/>
          <w:spacing w:val="5"/>
        </w:rPr>
        <w:t> </w:t>
      </w:r>
      <w:r>
        <w:rPr>
          <w:color w:val="6E6158"/>
        </w:rPr>
        <w:t>News</w:t>
      </w:r>
      <w:r>
        <w:rPr>
          <w:color w:val="6E6158"/>
          <w:spacing w:val="6"/>
        </w:rPr>
        <w:t> </w:t>
      </w:r>
      <w:r>
        <w:rPr>
          <w:color w:val="6E6158"/>
        </w:rPr>
        <w:t>&amp;</w:t>
      </w:r>
      <w:r>
        <w:rPr>
          <w:color w:val="6E6158"/>
          <w:spacing w:val="6"/>
        </w:rPr>
        <w:t> </w:t>
      </w:r>
      <w:r>
        <w:rPr>
          <w:color w:val="6E6158"/>
        </w:rPr>
        <w:t>World</w:t>
      </w:r>
      <w:r>
        <w:rPr>
          <w:color w:val="6E6158"/>
          <w:spacing w:val="5"/>
        </w:rPr>
        <w:t> </w:t>
      </w:r>
      <w:r>
        <w:rPr>
          <w:color w:val="6E6158"/>
        </w:rPr>
        <w:t>Report’s</w:t>
      </w:r>
      <w:r>
        <w:rPr>
          <w:color w:val="6E6158"/>
          <w:spacing w:val="6"/>
        </w:rPr>
        <w:t> </w:t>
      </w:r>
      <w:r>
        <w:rPr>
          <w:color w:val="6E6158"/>
        </w:rPr>
        <w:t>Best</w:t>
      </w:r>
      <w:r>
        <w:rPr>
          <w:color w:val="6E6158"/>
          <w:spacing w:val="6"/>
        </w:rPr>
        <w:t> </w:t>
      </w:r>
      <w:r>
        <w:rPr>
          <w:color w:val="6E6158"/>
        </w:rPr>
        <w:t>Lawyers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6"/>
        </w:rPr>
        <w:t> </w:t>
      </w:r>
      <w:r>
        <w:rPr>
          <w:color w:val="6E6158"/>
        </w:rPr>
        <w:t>America,</w:t>
      </w:r>
      <w:r>
        <w:rPr>
          <w:color w:val="6E6158"/>
          <w:spacing w:val="6"/>
        </w:rPr>
        <w:t> </w:t>
      </w:r>
      <w:r>
        <w:rPr>
          <w:color w:val="6E6158"/>
        </w:rPr>
        <w:t>2014-</w:t>
      </w:r>
      <w:r>
        <w:rPr>
          <w:color w:val="6E6158"/>
          <w:spacing w:val="-2"/>
        </w:rPr>
        <w:t>present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173721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8849pt;width:1.65pt;height:1.65pt;mso-position-horizontal-relative:page;mso-position-vertical-relative:paragraph;z-index:15734784" id="docshape25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Structured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Finance,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1"/>
        <w:ind w:left="356" w:right="3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173505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1855pt;width:1.65pt;height:1.65pt;mso-position-horizontal-relative:page;mso-position-vertical-relative:paragraph;z-index:15735296" id="docshape26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431871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5604pt;width:1.65pt;height:1.65pt;mso-position-horizontal-relative:page;mso-position-vertical-relative:paragraph;z-index:15735808" id="docshape27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2014 Top Lawyer, Martindale-Hubbell, San Diego </w:t>
      </w:r>
      <w:r>
        <w:rPr>
          <w:color w:val="6E6158"/>
        </w:rPr>
        <w:t>Magazine National Merit Scholar</w:t>
      </w:r>
    </w:p>
    <w:p>
      <w:pPr>
        <w:pStyle w:val="Heading1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245784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314pt;width:1.65pt;height:1.65pt;mso-position-horizontal-relative:page;mso-position-vertical-relative:paragraph;z-index:15736320" id="docshape28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Commercial Finance Lawyers (2010-present, 2014-17 as </w:t>
      </w:r>
      <w:r>
        <w:rPr>
          <w:color w:val="6E6158"/>
        </w:rPr>
        <w:t>member</w:t>
      </w:r>
      <w:r>
        <w:rPr>
          <w:color w:val="6E6158"/>
          <w:spacing w:val="80"/>
        </w:rPr>
        <w:t> </w:t>
      </w:r>
      <w:r>
        <w:rPr>
          <w:color w:val="6E6158"/>
        </w:rPr>
        <w:t>of Board of Regents)</w:t>
      </w:r>
    </w:p>
    <w:p>
      <w:pPr>
        <w:pStyle w:val="BodyText"/>
        <w:spacing w:line="292" w:lineRule="auto" w:before="131"/>
        <w:ind w:left="356"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235889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971pt;width:1.65pt;height:1.65pt;mso-position-horizontal-relative:page;mso-position-vertical-relative:paragraph;z-index:15736832" id="docshape2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Financial Lawyers Conference (1995-present, Past President and emeritus </w:t>
      </w:r>
      <w:r>
        <w:rPr>
          <w:color w:val="6E6158"/>
        </w:rPr>
        <w:t>member</w:t>
      </w:r>
      <w:r>
        <w:rPr>
          <w:color w:val="6E6158"/>
          <w:spacing w:val="40"/>
        </w:rPr>
        <w:t> </w:t>
      </w:r>
      <w:r>
        <w:rPr>
          <w:color w:val="6E6158"/>
        </w:rPr>
        <w:t>of Board of Governors</w:t>
      </w:r>
    </w:p>
    <w:p>
      <w:pPr>
        <w:pStyle w:val="BodyText"/>
        <w:spacing w:line="292" w:lineRule="auto"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7952pt;width:1.65pt;height:1.65pt;mso-position-horizontal-relative:page;mso-position-vertical-relative:paragraph;z-index:15737344" id="docshape30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Uniform Commercial Code Committee, Business Law Section, California </w:t>
      </w:r>
      <w:r>
        <w:rPr>
          <w:color w:val="6E6158"/>
        </w:rPr>
        <w:t>Lawyers Association (1995-2000, and 2021-Present, 1999-2000 as Chair)</w:t>
      </w:r>
    </w:p>
    <w:p>
      <w:pPr>
        <w:pStyle w:val="BodyText"/>
        <w:spacing w:line="292" w:lineRule="auto" w:before="131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235696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807pt;width:1.65pt;height:1.65pt;mso-position-horizontal-relative:page;mso-position-vertical-relative:paragraph;z-index:15737856" id="docshape31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20"/>
        </w:rPr>
        <w:t> </w:t>
      </w:r>
      <w:r>
        <w:rPr>
          <w:color w:val="6E6158"/>
        </w:rPr>
        <w:t>Executive</w:t>
      </w:r>
      <w:r>
        <w:rPr>
          <w:color w:val="6E6158"/>
          <w:spacing w:val="20"/>
        </w:rPr>
        <w:t> </w:t>
      </w:r>
      <w:r>
        <w:rPr>
          <w:color w:val="6E6158"/>
        </w:rPr>
        <w:t>Committee,</w:t>
      </w:r>
      <w:r>
        <w:rPr>
          <w:color w:val="6E6158"/>
          <w:spacing w:val="20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Section,</w:t>
      </w:r>
      <w:r>
        <w:rPr>
          <w:color w:val="6E6158"/>
          <w:spacing w:val="20"/>
        </w:rPr>
        <w:t> </w:t>
      </w:r>
      <w:r>
        <w:rPr>
          <w:color w:val="6E6158"/>
        </w:rPr>
        <w:t>California</w:t>
      </w:r>
      <w:r>
        <w:rPr>
          <w:color w:val="6E6158"/>
          <w:spacing w:val="20"/>
        </w:rPr>
        <w:t> </w:t>
      </w:r>
      <w:r>
        <w:rPr>
          <w:color w:val="6E6158"/>
        </w:rPr>
        <w:t>Lawyers</w:t>
      </w:r>
      <w:r>
        <w:rPr>
          <w:color w:val="6E6158"/>
          <w:spacing w:val="20"/>
        </w:rPr>
        <w:t> </w:t>
      </w:r>
      <w:r>
        <w:rPr>
          <w:color w:val="6E6158"/>
        </w:rPr>
        <w:t>Association</w:t>
      </w:r>
      <w:r>
        <w:rPr>
          <w:color w:val="6E6158"/>
          <w:spacing w:val="20"/>
        </w:rPr>
        <w:t> </w:t>
      </w:r>
      <w:r>
        <w:rPr>
          <w:color w:val="6E6158"/>
        </w:rPr>
        <w:t>(2001-2004 and 2009-2012, Advisor 2020-Present)</w:t>
      </w:r>
    </w:p>
    <w:p>
      <w:pPr>
        <w:pStyle w:val="BodyText"/>
        <w:spacing w:line="29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230794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2766pt;width:1.65pt;height:1.65pt;mso-position-horizontal-relative:page;mso-position-vertical-relative:paragraph;z-index:15738368" id="docshape3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Steering Committee, Opinions Committee, Business Law Section, California </w:t>
      </w:r>
      <w:r>
        <w:rPr>
          <w:color w:val="6E6158"/>
        </w:rPr>
        <w:t>Lawyers Association (2001-present, 2007-2011 as Chair)</w:t>
      </w:r>
    </w:p>
    <w:p>
      <w:pPr>
        <w:pStyle w:val="BodyText"/>
        <w:spacing w:line="292" w:lineRule="auto" w:before="132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236138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3618pt;width:1.65pt;height:1.65pt;mso-position-horizontal-relative:page;mso-position-vertical-relative:paragraph;z-index:15738880" id="docshape33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Editorial Board of the Business Law Section’s publication, “Business Law News” (2013-</w:t>
      </w:r>
      <w:r>
        <w:rPr>
          <w:color w:val="6E6158"/>
        </w:rPr>
        <w:t>present,</w:t>
      </w:r>
      <w:r>
        <w:rPr>
          <w:color w:val="6E6158"/>
          <w:spacing w:val="40"/>
        </w:rPr>
        <w:t> </w:t>
      </w:r>
      <w:r>
        <w:rPr>
          <w:color w:val="6E6158"/>
        </w:rPr>
        <w:t>2014-2015 and 2017-2020 as Editor-in-Chief)</w:t>
      </w:r>
    </w:p>
    <w:p>
      <w:pPr>
        <w:pStyle w:val="BodyText"/>
        <w:spacing w:line="302" w:lineRule="auto" w:before="123"/>
        <w:ind w:left="356" w:right="5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235768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472pt;width:1.65pt;height:1.65pt;mso-position-horizontal-relative:page;mso-position-vertical-relative:paragraph;z-index:15739392" id="docshape3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 Firm Representative to the Working Group on Legal Opinions </w:t>
      </w:r>
      <w:r>
        <w:rPr>
          <w:color w:val="6E6158"/>
        </w:rPr>
        <w:t>(</w:t>
      </w:r>
      <w:hyperlink r:id="rId11">
        <w:r>
          <w:rPr>
            <w:color w:val="6E6158"/>
          </w:rPr>
          <w:t>https://www.wglo.net/</w:t>
        </w:r>
      </w:hyperlink>
      <w:r>
        <w:rPr>
          <w:color w:val="6E6158"/>
        </w:rPr>
        <w:t>) </w:t>
      </w:r>
      <w:r>
        <w:rPr>
          <w:color w:val="6E6158"/>
          <w:spacing w:val="-2"/>
        </w:rPr>
        <w:t>(2007-present)</w:t>
      </w:r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131100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2871pt;width:1.65pt;height:1.65pt;mso-position-horizontal-relative:page;mso-position-vertical-relative:paragraph;z-index:15739904" id="docshape35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Governors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Conference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374618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497511pt;width:1.65pt;height:1.65pt;mso-position-horizontal-relative:page;mso-position-vertical-relative:paragraph;z-index:15740416" id="docshape36" coordorigin="1675,590" coordsize="33,33" path="m1696,623l1687,623,1683,621,1676,615,1675,611,1675,602,1676,598,1683,592,1687,590,1696,590,1699,592,1706,598,1707,602,1707,606,1707,611,1706,615,1699,621,1696,6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Enforcing security interests in personal property: here’s how and when to do it /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Jerome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Grossman,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Xenia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Tashlitsky.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University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California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Los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Angeles</w:t>
        </w:r>
      </w:hyperlink>
      <w:r>
        <w:rPr>
          <w:color w:val="6E6158"/>
        </w:rPr>
        <w:t>),”</w:t>
      </w:r>
      <w:r>
        <w:rPr>
          <w:color w:val="6E6158"/>
          <w:spacing w:val="23"/>
        </w:rPr>
        <w:t> </w:t>
      </w:r>
      <w:r>
        <w:rPr>
          <w:color w:val="6E6158"/>
        </w:rPr>
        <w:t>UCLA</w:t>
      </w:r>
      <w:r>
        <w:rPr>
          <w:color w:val="6E6158"/>
          <w:spacing w:val="23"/>
        </w:rPr>
        <w:t> </w:t>
      </w:r>
      <w:r>
        <w:rPr>
          <w:color w:val="6E6158"/>
        </w:rPr>
        <w:t>Library,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  <w:ind w:left="356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268347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753pt;width:1.65pt;height:1.65pt;mso-position-horizontal-relative:page;mso-position-vertical-relative:paragraph;z-index:15740928" id="docshape37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Interview, “I’ve Always Envisioned my Career Including a Teaching Component,” </w:t>
        </w:r>
        <w:r>
          <w:rPr>
            <w:color w:val="F5821F"/>
          </w:rPr>
          <w:t>Fennemore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Blog, June 2, 2022</w:t>
        </w:r>
      </w:hyperlink>
    </w:p>
    <w:p>
      <w:pPr>
        <w:pStyle w:val="BodyText"/>
        <w:spacing w:before="113"/>
        <w:ind w:left="356"/>
      </w:pPr>
      <w:r>
        <w:rPr>
          <w:color w:val="6E6158"/>
        </w:rPr>
        <w:t>Co-Presenter,</w:t>
      </w:r>
      <w:r>
        <w:rPr>
          <w:color w:val="6E6158"/>
          <w:spacing w:val="14"/>
        </w:rPr>
        <w:t> </w:t>
      </w:r>
      <w:r>
        <w:rPr>
          <w:color w:val="6E6158"/>
        </w:rPr>
        <w:t>“Analyzing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</w:rPr>
        <w:t>Reasonableness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Key</w:t>
      </w:r>
      <w:r>
        <w:rPr>
          <w:color w:val="6E6158"/>
          <w:spacing w:val="14"/>
        </w:rPr>
        <w:t> </w:t>
      </w:r>
      <w:r>
        <w:rPr>
          <w:color w:val="6E6158"/>
        </w:rPr>
        <w:t>Strategic</w:t>
      </w:r>
      <w:r>
        <w:rPr>
          <w:color w:val="6E6158"/>
          <w:spacing w:val="14"/>
        </w:rPr>
        <w:t> </w:t>
      </w:r>
      <w:r>
        <w:rPr>
          <w:color w:val="6E6158"/>
        </w:rPr>
        <w:t>Issues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52"/>
        <w:ind w:left="356" w:right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97637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7954pt;width:1.65pt;height:1.65pt;mso-position-horizontal-relative:page;mso-position-vertical-relative:paragraph;z-index:15741440" id="docshape38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Enforcement of Security Interests in LLC Interests,” (Financial Lawyers Conference,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2021)</w:t>
      </w:r>
    </w:p>
    <w:p>
      <w:pPr>
        <w:pStyle w:val="BodyText"/>
        <w:spacing w:line="292" w:lineRule="auto" w:before="131"/>
        <w:ind w:left="356" w:right="330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235911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5678pt;width:1.65pt;height:1.65pt;mso-position-horizontal-relative:page;mso-position-vertical-relative:paragraph;z-index:15741952" id="docshape39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“Opinions of Counsel in Lending Transactions: Scope and </w:t>
      </w:r>
      <w:r>
        <w:rPr>
          <w:color w:val="6E6158"/>
        </w:rPr>
        <w:t>Assumptions, Substantive Opinions, and Qualifications” (Stafford, 2016-2020)</w:t>
      </w:r>
    </w:p>
    <w:p>
      <w:pPr>
        <w:pStyle w:val="BodyText"/>
        <w:spacing w:line="292" w:lineRule="auto"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231008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965pt;width:1.65pt;height:1.65pt;mso-position-horizontal-relative:page;mso-position-vertical-relative:paragraph;z-index:15742464" id="docshape40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“Basics of Understanding and Drafting Legal Opinions in Business </w:t>
      </w:r>
      <w:r>
        <w:rPr>
          <w:color w:val="6E6158"/>
        </w:rPr>
        <w:t>Transactions,” (MyLawCLE, May 2019)</w:t>
      </w:r>
    </w:p>
    <w:p>
      <w:pPr>
        <w:pStyle w:val="BodyText"/>
        <w:spacing w:line="292" w:lineRule="auto" w:before="131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235718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499pt;width:1.65pt;height:1.65pt;mso-position-horizontal-relative:page;mso-position-vertical-relative:paragraph;z-index:15742976" id="docshape41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“You Authorized WHAT?! A Cautionary Tale in Three Acts,” (Financial Lawyers Conference, April 2015)</w:t>
      </w:r>
    </w:p>
    <w:p>
      <w:pPr>
        <w:pStyle w:val="BodyText"/>
        <w:spacing w:line="29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230815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4473pt;width:1.65pt;height:1.65pt;mso-position-horizontal-relative:page;mso-position-vertical-relative:paragraph;z-index:15743488" id="docshape4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Western State College of Law at Argosy University, Spring 2015 (teaching a course in secured transactions)</w:t>
      </w:r>
    </w:p>
    <w:p>
      <w:pPr>
        <w:pStyle w:val="BodyText"/>
        <w:spacing w:line="292" w:lineRule="auto" w:before="132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236160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32pt;width:1.65pt;height:1.65pt;mso-position-horizontal-relative:page;mso-position-vertical-relative:paragraph;z-index:15744000" id="docshape43" coordorigin="1675,372" coordsize="33,33" path="m1696,404l1687,404,1683,403,1676,397,1675,393,1675,384,1676,380,1683,373,1687,372,1696,372,1699,373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CEB Action Guide “Enforcing Security Interests in Personal Property” (2001-2022 </w:t>
      </w:r>
      <w:r>
        <w:rPr>
          <w:color w:val="6E6158"/>
          <w:spacing w:val="-2"/>
        </w:rPr>
        <w:t>editions)</w:t>
      </w:r>
    </w:p>
    <w:p>
      <w:pPr>
        <w:pStyle w:val="BodyText"/>
        <w:spacing w:line="30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235790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6168pt;width:1.65pt;height:1.65pt;mso-position-horizontal-relative:page;mso-position-vertical-relative:paragraph;z-index:15744512" id="docshape4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“Laws Commonly Excluded from the Coverage of Third-Party Legal Opinions in U.S. Commercial Loan Transactions,” 76 Bus. Law. 889 (2021)</w:t>
      </w:r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131122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4576pt;width:1.65pt;height:1.65pt;mso-position-horizontal-relative:page;mso-position-vertical-relative:paragraph;z-index:15745024" id="docshape45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Dangerous</w:t>
      </w:r>
      <w:r>
        <w:rPr>
          <w:color w:val="6E6158"/>
          <w:spacing w:val="11"/>
        </w:rPr>
        <w:t> </w:t>
      </w:r>
      <w:r>
        <w:rPr>
          <w:color w:val="6E6158"/>
        </w:rPr>
        <w:t>Allure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Documents,”</w:t>
      </w:r>
      <w:r>
        <w:rPr>
          <w:color w:val="6E6158"/>
          <w:spacing w:val="11"/>
        </w:rPr>
        <w:t> </w:t>
      </w:r>
      <w:r>
        <w:rPr>
          <w:color w:val="6E6158"/>
        </w:rPr>
        <w:t>2019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News</w:t>
      </w:r>
      <w:r>
        <w:rPr>
          <w:color w:val="6E6158"/>
          <w:spacing w:val="11"/>
        </w:rPr>
        <w:t> </w:t>
      </w:r>
      <w:r>
        <w:rPr>
          <w:color w:val="6E6158"/>
        </w:rPr>
        <w:t>Issue</w:t>
      </w:r>
      <w:r>
        <w:rPr>
          <w:color w:val="6E6158"/>
          <w:spacing w:val="11"/>
        </w:rPr>
        <w:t> </w:t>
      </w:r>
      <w:r>
        <w:rPr>
          <w:color w:val="6E6158"/>
          <w:spacing w:val="-10"/>
        </w:rPr>
        <w:t>2</w:t>
      </w:r>
    </w:p>
    <w:p>
      <w:pPr>
        <w:pStyle w:val="BodyText"/>
        <w:spacing w:line="292" w:lineRule="auto" w:before="174"/>
        <w:ind w:left="356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262818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437pt;width:1.65pt;height:1.65pt;mso-position-horizontal-relative:page;mso-position-vertical-relative:paragraph;z-index:15745536" id="docshape46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Secured Transactions: A Context and Practice Casebook (Carolina </w:t>
      </w:r>
      <w:r>
        <w:rPr>
          <w:color w:val="6E6158"/>
        </w:rPr>
        <w:t>Academic Press, 2015)</w:t>
      </w:r>
    </w:p>
    <w:p>
      <w:pPr>
        <w:pStyle w:val="Heading1"/>
        <w:spacing w:before="17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152834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4212pt;width:1.65pt;height:1.65pt;mso-position-horizontal-relative:page;mso-position-vertical-relative:paragraph;z-index:15746048" id="docshape47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157735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084pt;width:1.65pt;height:1.65pt;mso-position-horizontal-relative:page;mso-position-vertical-relative:paragraph;z-index:15746560" id="docshape4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grossman@fennemorelaw.com" TargetMode="External"/><Relationship Id="rId11" Type="http://schemas.openxmlformats.org/officeDocument/2006/relationships/hyperlink" Target="https://www.wglo.net/" TargetMode="External"/><Relationship Id="rId12" Type="http://schemas.openxmlformats.org/officeDocument/2006/relationships/hyperlink" Target="https://search.library.ucla.edu/discovery/fulldisplay?vid=01UCS_LAL%3AUCLA&amp;search_scope=ArticlesBooksMore&amp;tab=Articles_books_more_slot&amp;docid=alma9997110932406533&amp;context=L" TargetMode="External"/><Relationship Id="rId13" Type="http://schemas.openxmlformats.org/officeDocument/2006/relationships/hyperlink" Target="https://www.fennemorelaw.com/ive-always-envisioned-my-career-including-a-teaching-compon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2025-10-21T04:51:42Z</dcterms:created>
  <dcterms:modified xsi:type="dcterms:W3CDTF">2025-10-21T04:51:42Z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