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461" w:right="145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LINDSEY MORGAN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lmorgan@fennemorelaw.com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461" w:right="145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LINDSEY MORGAN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lmorgan@fennemorelaw.com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LINDSEY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MORGAN</w:t>
      </w:r>
    </w:p>
    <w:p>
      <w:pPr>
        <w:pStyle w:val="BodyText"/>
        <w:spacing w:line="295" w:lineRule="auto"/>
        <w:ind w:left="104" w:right="232"/>
      </w:pPr>
      <w:r>
        <w:rPr>
          <w:color w:val="6E6158"/>
        </w:rPr>
        <w:t>Lindsey Morgan is an Of Counsel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A</w:t>
      </w:r>
      <w:r>
        <w:rPr>
          <w:color w:val="6E6158"/>
          <w:spacing w:val="40"/>
        </w:rPr>
        <w:t> </w:t>
      </w:r>
      <w:r>
        <w:rPr>
          <w:color w:val="6E6158"/>
        </w:rPr>
        <w:t>seasoned attorney, Lindsey has spent years defending multimillion-dollar litigation and </w:t>
      </w:r>
      <w:r>
        <w:rPr>
          <w:color w:val="6E6158"/>
        </w:rPr>
        <w:t>resolving</w:t>
      </w:r>
      <w:r>
        <w:rPr>
          <w:color w:val="6E6158"/>
          <w:spacing w:val="40"/>
        </w:rPr>
        <w:t> </w:t>
      </w:r>
      <w:r>
        <w:rPr>
          <w:color w:val="6E6158"/>
        </w:rPr>
        <w:t>complex pre-litigation claims in the real estate, insurance coverage, and general business 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sectors.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represented</w:t>
      </w:r>
      <w:r>
        <w:rPr>
          <w:color w:val="6E6158"/>
          <w:spacing w:val="37"/>
        </w:rPr>
        <w:t> </w:t>
      </w:r>
      <w:r>
        <w:rPr>
          <w:color w:val="6E6158"/>
        </w:rPr>
        <w:t>corporate</w:t>
      </w:r>
      <w:r>
        <w:rPr>
          <w:color w:val="6E6158"/>
          <w:spacing w:val="37"/>
        </w:rPr>
        <w:t> </w:t>
      </w:r>
      <w:r>
        <w:rPr>
          <w:color w:val="6E6158"/>
        </w:rPr>
        <w:t>entities,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national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</w:p>
    <w:p>
      <w:pPr>
        <w:pStyle w:val="BodyText"/>
        <w:spacing w:before="1"/>
        <w:ind w:left="104"/>
      </w:pPr>
      <w:r>
        <w:rPr>
          <w:color w:val="6E6158"/>
        </w:rPr>
        <w:t>brokerages,</w:t>
      </w:r>
      <w:r>
        <w:rPr>
          <w:color w:val="6E6158"/>
          <w:spacing w:val="14"/>
        </w:rPr>
        <w:t> </w:t>
      </w:r>
      <w:r>
        <w:rPr>
          <w:color w:val="6E6158"/>
        </w:rPr>
        <w:t>insurance</w:t>
      </w:r>
      <w:r>
        <w:rPr>
          <w:color w:val="6E6158"/>
          <w:spacing w:val="15"/>
        </w:rPr>
        <w:t> </w:t>
      </w:r>
      <w:r>
        <w:rPr>
          <w:color w:val="6E6158"/>
        </w:rPr>
        <w:t>giants,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public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utilities.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 w:before="1"/>
        <w:ind w:left="104" w:right="650"/>
      </w:pPr>
      <w:r>
        <w:rPr>
          <w:color w:val="6E6158"/>
        </w:rPr>
        <w:t>Prior to joining Fennemore, Lindsey provided strategic outside general counsel services and</w:t>
      </w:r>
      <w:r>
        <w:rPr>
          <w:color w:val="6E6158"/>
          <w:spacing w:val="40"/>
        </w:rPr>
        <w:t> </w:t>
      </w:r>
      <w:r>
        <w:rPr>
          <w:color w:val="6E6158"/>
        </w:rPr>
        <w:t>represented companies in litigation matters through her solo practice.</w:t>
      </w:r>
      <w:r>
        <w:rPr>
          <w:color w:val="6E6158"/>
          <w:spacing w:val="40"/>
        </w:rPr>
        <w:t> </w:t>
      </w:r>
      <w:r>
        <w:rPr>
          <w:color w:val="6E6158"/>
        </w:rPr>
        <w:t>She simultaneously</w:t>
      </w:r>
      <w:r>
        <w:rPr>
          <w:color w:val="6E6158"/>
          <w:spacing w:val="40"/>
        </w:rPr>
        <w:t> </w:t>
      </w:r>
      <w:r>
        <w:rPr>
          <w:color w:val="6E6158"/>
        </w:rPr>
        <w:t>handled litigation in Washington and California as Of Counsel for Fellner Law Group. She has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representing insurers in insurance coverage litigation and providing</w:t>
      </w:r>
      <w:r>
        <w:rPr>
          <w:color w:val="6E6158"/>
          <w:spacing w:val="40"/>
        </w:rPr>
        <w:t> </w:t>
      </w:r>
      <w:r>
        <w:rPr>
          <w:color w:val="6E6158"/>
        </w:rPr>
        <w:t>insurance defense for real estate brokerages and their employees and agents in civil </w:t>
      </w:r>
      <w:r>
        <w:rPr>
          <w:color w:val="6E6158"/>
        </w:rPr>
        <w:t>litigation.</w:t>
      </w:r>
      <w:r>
        <w:rPr>
          <w:color w:val="6E6158"/>
          <w:spacing w:val="40"/>
        </w:rPr>
        <w:t> </w:t>
      </w:r>
      <w:r>
        <w:rPr>
          <w:color w:val="6E6158"/>
        </w:rPr>
        <w:t>Lindsey holds an inactive real estate broker license in both Idaho and California—offering</w:t>
      </w:r>
      <w:r>
        <w:rPr>
          <w:color w:val="6E6158"/>
          <w:spacing w:val="40"/>
        </w:rPr>
        <w:t> </w:t>
      </w:r>
      <w:r>
        <w:rPr>
          <w:color w:val="6E6158"/>
        </w:rPr>
        <w:t>valuable insights without competing with her clients’ interests.</w:t>
      </w:r>
    </w:p>
    <w:p>
      <w:pPr>
        <w:pStyle w:val="BodyText"/>
        <w:spacing w:before="191"/>
        <w:ind w:left="104"/>
      </w:pPr>
      <w:r>
        <w:rPr>
          <w:color w:val="6E6158"/>
        </w:rPr>
        <w:t>She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active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Rotary</w:t>
      </w:r>
      <w:r>
        <w:rPr>
          <w:color w:val="6E6158"/>
          <w:spacing w:val="9"/>
        </w:rPr>
        <w:t> </w:t>
      </w:r>
      <w:r>
        <w:rPr>
          <w:color w:val="6E6158"/>
        </w:rPr>
        <w:t>Club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Coeur</w:t>
      </w:r>
      <w:r>
        <w:rPr>
          <w:color w:val="6E6158"/>
          <w:spacing w:val="9"/>
        </w:rPr>
        <w:t> </w:t>
      </w:r>
      <w:r>
        <w:rPr>
          <w:color w:val="6E6158"/>
        </w:rPr>
        <w:t>d’Alene,</w:t>
      </w:r>
      <w:r>
        <w:rPr>
          <w:color w:val="6E6158"/>
          <w:spacing w:val="9"/>
        </w:rPr>
        <w:t> </w:t>
      </w:r>
      <w:r>
        <w:rPr>
          <w:color w:val="6E6158"/>
        </w:rPr>
        <w:t>where</w:t>
      </w:r>
      <w:r>
        <w:rPr>
          <w:color w:val="6E6158"/>
          <w:spacing w:val="10"/>
        </w:rPr>
        <w:t> </w:t>
      </w:r>
      <w:r>
        <w:rPr>
          <w:color w:val="6E6158"/>
        </w:rPr>
        <w:t>she</w:t>
      </w:r>
      <w:r>
        <w:rPr>
          <w:color w:val="6E6158"/>
          <w:spacing w:val="9"/>
        </w:rPr>
        <w:t> </w:t>
      </w:r>
      <w:r>
        <w:rPr>
          <w:color w:val="6E6158"/>
        </w:rPr>
        <w:t>serves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grants</w:t>
      </w:r>
    </w:p>
    <w:p>
      <w:pPr>
        <w:pStyle w:val="BodyText"/>
        <w:spacing w:line="292" w:lineRule="auto" w:before="60"/>
        <w:ind w:left="104" w:right="232"/>
      </w:pPr>
      <w:r>
        <w:rPr>
          <w:color w:val="6E6158"/>
        </w:rPr>
        <w:t>committee.</w:t>
      </w:r>
      <w:r>
        <w:rPr>
          <w:color w:val="6E6158"/>
          <w:spacing w:val="80"/>
        </w:rPr>
        <w:t> </w:t>
      </w:r>
      <w:r>
        <w:rPr>
          <w:color w:val="6E6158"/>
        </w:rPr>
        <w:t>Lindsey has a particular interest in using her civil litigation background to advise her clients on ways to proactively avoid future litigation.</w:t>
      </w:r>
    </w:p>
    <w:p>
      <w:pPr>
        <w:pStyle w:val="BodyText"/>
        <w:spacing w:line="295" w:lineRule="auto" w:before="196"/>
        <w:ind w:left="104" w:right="650"/>
      </w:pPr>
      <w:r>
        <w:rPr>
          <w:color w:val="6E6158"/>
        </w:rPr>
        <w:t>After growing up in a wilderness area without electricity or refrigeration, Lindsey prefers to spend</w:t>
      </w:r>
      <w:r>
        <w:rPr>
          <w:color w:val="6E6158"/>
          <w:spacing w:val="40"/>
        </w:rPr>
        <w:t> </w:t>
      </w:r>
      <w:r>
        <w:rPr>
          <w:color w:val="6E6158"/>
        </w:rPr>
        <w:t>her free time outside.</w:t>
      </w:r>
      <w:r>
        <w:rPr>
          <w:color w:val="6E6158"/>
          <w:spacing w:val="80"/>
        </w:rPr>
        <w:t> </w:t>
      </w:r>
      <w:r>
        <w:rPr>
          <w:color w:val="6E6158"/>
        </w:rPr>
        <w:t>When she is not in the office, Lindsey is a boy mom, avid hiker and</w:t>
      </w:r>
      <w:r>
        <w:rPr>
          <w:color w:val="6E6158"/>
          <w:spacing w:val="40"/>
        </w:rPr>
        <w:t> </w:t>
      </w:r>
      <w:r>
        <w:rPr>
          <w:color w:val="6E6158"/>
        </w:rPr>
        <w:t>gardener, and enthusiastic non-fiction reader.</w:t>
      </w:r>
      <w:r>
        <w:rPr>
          <w:color w:val="6E6158"/>
          <w:spacing w:val="80"/>
        </w:rPr>
        <w:t> </w:t>
      </w:r>
      <w:r>
        <w:rPr>
          <w:color w:val="6E6158"/>
        </w:rPr>
        <w:t>Lindsey cultivates humility by regularly</w:t>
      </w:r>
      <w:r>
        <w:rPr>
          <w:color w:val="6E6158"/>
          <w:spacing w:val="40"/>
        </w:rPr>
        <w:t> </w:t>
      </w:r>
      <w:r>
        <w:rPr>
          <w:color w:val="6E6158"/>
        </w:rPr>
        <w:t>participating in Crossfit and is a late beginner to the game of golf.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/>
        <w:ind w:right="3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157836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8038pt;width:1.65pt;height:1.65pt;mso-position-horizontal-relative:page;mso-position-vertical-relative:paragraph;z-index:15729152" id="docshape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416201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1782pt;width:1.65pt;height:1.65pt;mso-position-horizontal-relative:page;mso-position-vertical-relative:paragraph;z-index:15729664" id="docshape8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B.A., University of California, Los Angeles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157511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2442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0688" id="docshape1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insurance brokerage in pre-litigation and active litigation for claims related to</w:t>
      </w:r>
      <w:r>
        <w:rPr>
          <w:color w:val="6E6158"/>
          <w:spacing w:val="40"/>
        </w:rPr>
        <w:t> </w:t>
      </w:r>
      <w:r>
        <w:rPr>
          <w:color w:val="6E6158"/>
        </w:rPr>
        <w:t>improper coverage placement throughout the West Coast.</w:t>
      </w:r>
    </w:p>
    <w:p>
      <w:pPr>
        <w:pStyle w:val="BodyText"/>
        <w:spacing w:line="292" w:lineRule="auto" w:before="132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42pt;width:1.65pt;height:1.65pt;mso-position-horizontal-relative:page;mso-position-vertical-relative:paragraph;z-index:15731200" id="docshape1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 national company in a multi-million dollar commercial real estate dispute </w:t>
      </w:r>
      <w:r>
        <w:rPr>
          <w:color w:val="6E6158"/>
        </w:rPr>
        <w:t>arising</w:t>
      </w:r>
      <w:r>
        <w:rPr>
          <w:color w:val="6E6158"/>
          <w:spacing w:val="40"/>
        </w:rPr>
        <w:t> </w:t>
      </w:r>
      <w:r>
        <w:rPr>
          <w:color w:val="6E6158"/>
        </w:rPr>
        <w:t>from a faulty sprinkler system in Washington state.</w:t>
      </w:r>
    </w:p>
    <w:p>
      <w:pPr>
        <w:pStyle w:val="BodyText"/>
        <w:spacing w:line="292" w:lineRule="auto" w:before="123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715pt;width:1.65pt;height:1.65pt;mso-position-horizontal-relative:page;mso-position-vertical-relative:paragraph;z-index:15731712" id="docshape12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dozens of property damage and personal injury claims against a privately </w:t>
      </w:r>
      <w:r>
        <w:rPr>
          <w:color w:val="6E6158"/>
        </w:rPr>
        <w:t>owned</w:t>
      </w:r>
      <w:r>
        <w:rPr>
          <w:color w:val="6E6158"/>
          <w:spacing w:val="40"/>
        </w:rPr>
        <w:t> </w:t>
      </w:r>
      <w:r>
        <w:rPr>
          <w:color w:val="6E6158"/>
        </w:rPr>
        <w:t>public utility in San Francisco.</w:t>
      </w:r>
    </w:p>
    <w:p>
      <w:pPr>
        <w:pStyle w:val="BodyText"/>
        <w:spacing w:line="292" w:lineRule="auto" w:before="131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561pt;width:1.65pt;height:1.65pt;mso-position-horizontal-relative:page;mso-position-vertical-relative:paragraph;z-index:15732224" id="docshape13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a non-disclosure case against a national real </w:t>
      </w:r>
      <w:r>
        <w:rPr>
          <w:color w:val="6E6158"/>
        </w:rPr>
        <w:t>estate brokerage and its agent in Alameda, California.</w:t>
      </w:r>
    </w:p>
    <w:p>
      <w:pPr>
        <w:pStyle w:val="BodyText"/>
        <w:spacing w:line="292" w:lineRule="auto" w:before="124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6537pt;width:1.65pt;height:1.65pt;mso-position-horizontal-relative:page;mso-position-vertical-relative:paragraph;z-index:15732736" id="docshape14" coordorigin="1675,364" coordsize="33,33" path="m1696,396l1687,396,1683,395,1676,389,1675,385,1675,376,1676,372,1683,366,1687,364,1696,364,1699,366,1706,372,1707,376,1707,380,1707,385,1706,389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 CEO on appeal in a breach of contract action involving issues of international</w:t>
      </w:r>
      <w:r>
        <w:rPr>
          <w:color w:val="6E6158"/>
          <w:spacing w:val="40"/>
        </w:rPr>
        <w:t> </w:t>
      </w:r>
      <w:r>
        <w:rPr>
          <w:color w:val="6E6158"/>
        </w:rPr>
        <w:t>jurisdiction in applying a judgment.</w:t>
      </w:r>
    </w:p>
    <w:p>
      <w:pPr>
        <w:pStyle w:val="BodyText"/>
        <w:spacing w:line="292" w:lineRule="auto" w:before="131"/>
        <w:ind w:right="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383pt;width:1.65pt;height:1.65pt;mso-position-horizontal-relative:page;mso-position-vertical-relative:paragraph;z-index:15733248" id="docshape1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brokerage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TV</w:t>
      </w:r>
      <w:r>
        <w:rPr>
          <w:color w:val="6E6158"/>
          <w:spacing w:val="14"/>
        </w:rPr>
        <w:t> </w:t>
      </w:r>
      <w:r>
        <w:rPr>
          <w:color w:val="6E6158"/>
        </w:rPr>
        <w:t>personality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agent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multi-million dollar real estate commission dispute.</w:t>
      </w:r>
    </w:p>
    <w:p>
      <w:pPr>
        <w:pStyle w:val="BodyText"/>
        <w:spacing w:line="288" w:lineRule="auto" w:before="113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323914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5108pt;width:1.65pt;height:1.65pt;mso-position-horizontal-relative:page;mso-position-vertical-relative:paragraph;z-index:15733760" id="docshape16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Acted as liaison counsel for the insurer defendants in </w:t>
      </w:r>
      <w:r>
        <w:rPr>
          <w:i/>
          <w:color w:val="6E6158"/>
          <w:sz w:val="20"/>
        </w:rPr>
        <w:t>Montrose v. Canadian Universal</w:t>
      </w:r>
      <w:r>
        <w:rPr>
          <w:i/>
          <w:color w:val="6E6158"/>
          <w:sz w:val="20"/>
        </w:rPr>
        <w:t> Insurance Co.</w:t>
      </w:r>
      <w:r>
        <w:rPr>
          <w:color w:val="6E6158"/>
        </w:rPr>
        <w:t>, a pollution allocation matter which went to the California Supreme Court on the</w:t>
      </w:r>
      <w:r>
        <w:rPr>
          <w:color w:val="6E6158"/>
          <w:spacing w:val="32"/>
        </w:rPr>
        <w:t> </w:t>
      </w:r>
      <w:r>
        <w:rPr>
          <w:color w:val="6E6158"/>
        </w:rPr>
        <w:t>question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horizontal</w:t>
      </w:r>
      <w:r>
        <w:rPr>
          <w:color w:val="6E6158"/>
          <w:spacing w:val="32"/>
        </w:rPr>
        <w:t> </w:t>
      </w:r>
      <w:r>
        <w:rPr>
          <w:color w:val="6E6158"/>
        </w:rPr>
        <w:t>versus</w:t>
      </w:r>
      <w:r>
        <w:rPr>
          <w:color w:val="6E6158"/>
          <w:spacing w:val="32"/>
        </w:rPr>
        <w:t> </w:t>
      </w:r>
      <w:r>
        <w:rPr>
          <w:color w:val="6E6158"/>
        </w:rPr>
        <w:t>vertical</w:t>
      </w:r>
      <w:r>
        <w:rPr>
          <w:color w:val="6E6158"/>
          <w:spacing w:val="32"/>
        </w:rPr>
        <w:t> </w:t>
      </w:r>
      <w:r>
        <w:rPr>
          <w:color w:val="6E6158"/>
        </w:rPr>
        <w:t>allocation</w:t>
      </w:r>
      <w:r>
        <w:rPr>
          <w:color w:val="6E6158"/>
          <w:spacing w:val="32"/>
        </w:rPr>
        <w:t> </w:t>
      </w:r>
      <w:r>
        <w:rPr>
          <w:color w:val="6E6158"/>
        </w:rPr>
        <w:t>at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excess</w:t>
      </w:r>
      <w:r>
        <w:rPr>
          <w:color w:val="6E6158"/>
          <w:spacing w:val="32"/>
        </w:rPr>
        <w:t> </w:t>
      </w:r>
      <w:r>
        <w:rPr>
          <w:color w:val="6E6158"/>
        </w:rPr>
        <w:t>insurance</w:t>
      </w:r>
      <w:r>
        <w:rPr>
          <w:color w:val="6E6158"/>
          <w:spacing w:val="32"/>
        </w:rPr>
        <w:t> </w:t>
      </w:r>
      <w:r>
        <w:rPr>
          <w:color w:val="6E6158"/>
        </w:rPr>
        <w:t>level.</w:t>
      </w:r>
    </w:p>
    <w:p>
      <w:pPr>
        <w:pStyle w:val="Heading1"/>
        <w:spacing w:before="2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0" w:lineRule="auto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157977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9186pt;width:1.65pt;height:1.65pt;mso-position-horizontal-relative:page;mso-position-vertical-relative:paragraph;z-index:15734272" id="docshape17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416343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2936pt;width:1.65pt;height:1.65pt;mso-position-horizontal-relative:page;mso-position-vertical-relative:paragraph;z-index:15734784" id="docshape18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 Costa Association of Realtors – Risk Management Seminar presentation, 2019-</w:t>
      </w:r>
      <w:r>
        <w:rPr>
          <w:color w:val="6E6158"/>
        </w:rPr>
        <w:t>2020</w:t>
      </w:r>
      <w:r>
        <w:rPr>
          <w:color w:val="6E6158"/>
          <w:spacing w:val="40"/>
        </w:rPr>
        <w:t> </w:t>
      </w:r>
      <w:r>
        <w:rPr>
          <w:color w:val="6E6158"/>
        </w:rPr>
        <w:t>North</w:t>
      </w:r>
      <w:r>
        <w:rPr>
          <w:color w:val="6E6158"/>
          <w:spacing w:val="23"/>
        </w:rPr>
        <w:t> </w:t>
      </w:r>
      <w:r>
        <w:rPr>
          <w:color w:val="6E6158"/>
        </w:rPr>
        <w:t>Idaho</w:t>
      </w:r>
      <w:r>
        <w:rPr>
          <w:color w:val="6E6158"/>
          <w:spacing w:val="23"/>
        </w:rPr>
        <w:t> </w:t>
      </w:r>
      <w:r>
        <w:rPr>
          <w:color w:val="6E6158"/>
        </w:rPr>
        <w:t>College</w:t>
      </w:r>
      <w:r>
        <w:rPr>
          <w:color w:val="6E6158"/>
          <w:spacing w:val="23"/>
        </w:rPr>
        <w:t> </w:t>
      </w:r>
      <w:r>
        <w:rPr>
          <w:color w:val="6E6158"/>
        </w:rPr>
        <w:t>Nursing</w:t>
      </w:r>
      <w:r>
        <w:rPr>
          <w:color w:val="6E6158"/>
          <w:spacing w:val="23"/>
        </w:rPr>
        <w:t> </w:t>
      </w:r>
      <w:r>
        <w:rPr>
          <w:color w:val="6E6158"/>
        </w:rPr>
        <w:t>Program</w:t>
      </w:r>
      <w:r>
        <w:rPr>
          <w:color w:val="6E6158"/>
          <w:spacing w:val="23"/>
        </w:rPr>
        <w:t> </w:t>
      </w:r>
      <w:r>
        <w:rPr>
          <w:color w:val="6E6158"/>
        </w:rPr>
        <w:t>–</w:t>
      </w:r>
      <w:r>
        <w:rPr>
          <w:color w:val="6E6158"/>
          <w:spacing w:val="23"/>
        </w:rPr>
        <w:t> </w:t>
      </w:r>
      <w:r>
        <w:rPr>
          <w:color w:val="6E6158"/>
        </w:rPr>
        <w:t>guest</w:t>
      </w:r>
      <w:r>
        <w:rPr>
          <w:color w:val="6E6158"/>
          <w:spacing w:val="23"/>
        </w:rPr>
        <w:t> </w:t>
      </w:r>
      <w:r>
        <w:rPr>
          <w:color w:val="6E6158"/>
        </w:rPr>
        <w:t>lecturer</w:t>
      </w:r>
      <w:r>
        <w:rPr>
          <w:color w:val="6E6158"/>
          <w:spacing w:val="23"/>
        </w:rPr>
        <w:t> </w:t>
      </w:r>
      <w:r>
        <w:rPr>
          <w:color w:val="6E6158"/>
        </w:rPr>
        <w:t>(“Legal</w:t>
      </w:r>
      <w:r>
        <w:rPr>
          <w:color w:val="6E6158"/>
          <w:spacing w:val="23"/>
        </w:rPr>
        <w:t> </w:t>
      </w:r>
      <w:r>
        <w:rPr>
          <w:color w:val="6E6158"/>
        </w:rPr>
        <w:t>Accountability”),</w:t>
      </w:r>
      <w:r>
        <w:rPr>
          <w:color w:val="6E6158"/>
          <w:spacing w:val="23"/>
        </w:rPr>
        <w:t> </w:t>
      </w:r>
      <w:r>
        <w:rPr>
          <w:color w:val="6E6158"/>
        </w:rPr>
        <w:t>Feb.</w:t>
      </w:r>
      <w:r>
        <w:rPr>
          <w:color w:val="6E6158"/>
          <w:spacing w:val="23"/>
        </w:rPr>
        <w:t> </w:t>
      </w:r>
      <w:r>
        <w:rPr>
          <w:color w:val="6E6158"/>
        </w:rPr>
        <w:t>2024</w:t>
      </w:r>
    </w:p>
    <w:p>
      <w:pPr>
        <w:pStyle w:val="Heading1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17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152470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5573pt;width:1.65pt;height:1.65pt;mso-position-horizontal-relative:page;mso-position-vertical-relative:paragraph;z-index:15735296" id="docshape19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416003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6195pt;width:1.65pt;height:1.65pt;mso-position-horizontal-relative:page;mso-position-vertical-relative:paragraph;z-index:15735808" id="docshape20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2025-2026 class of the Idaho Academy of Leadership for Lawyers </w:t>
      </w:r>
      <w:r>
        <w:rPr>
          <w:color w:val="6E6158"/>
        </w:rPr>
        <w:t>(IALL) Co-Chair, Grants Committee, Rotary Club of Coeur d’Alene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63918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2971pt;width:1.65pt;height:1.65pt;mso-position-horizontal-relative:page;mso-position-vertical-relative:paragraph;z-index:15736320" id="docshape21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Idaho</w:t>
      </w:r>
      <w:r>
        <w:rPr>
          <w:color w:val="6E6158"/>
          <w:spacing w:val="5"/>
        </w:rPr>
        <w:t> </w:t>
      </w:r>
      <w:r>
        <w:rPr>
          <w:color w:val="6E6158"/>
        </w:rPr>
        <w:t>Women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175368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8532pt;width:1.65pt;height:1.65pt;mso-position-horizontal-relative:page;mso-position-vertical-relative:paragraph;z-index:15736832" id="docshape2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Magnet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Sorensen</w:t>
      </w:r>
      <w:r>
        <w:rPr>
          <w:color w:val="6E6158"/>
          <w:spacing w:val="14"/>
        </w:rPr>
        <w:t> </w:t>
      </w:r>
      <w:r>
        <w:rPr>
          <w:color w:val="6E6158"/>
        </w:rPr>
        <w:t>Magnet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/>
        <w:ind w:right="6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152876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7531pt;width:1.65pt;height:1.65pt;mso-position-horizontal-relative:page;mso-position-vertical-relative:paragraph;z-index:15737344" id="docshape23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416409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8147pt;width:1.65pt;height:1.65pt;mso-position-horizontal-relative:page;mso-position-vertical-relative:paragraph;z-index:15737856" id="docshape24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674775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31912pt;width:1.65pt;height:1.65pt;mso-position-horizontal-relative:page;mso-position-vertical-relative:paragraph;z-index:15738368" id="docshape25" coordorigin="1675,1063" coordsize="33,33" path="m1696,1095l1687,1095,1683,1094,1676,1087,1675,1083,1675,1074,1676,1071,1683,1064,1687,1063,1696,1063,1699,1064,1706,1071,1707,1074,1707,1079,1707,1083,1706,1087,1699,1094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933140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3.475655pt;width:1.65pt;height:1.65pt;mso-position-horizontal-relative:page;mso-position-vertical-relative:paragraph;z-index:15738880" id="docshape26" coordorigin="1675,1470" coordsize="33,33" path="m1696,1502l1687,1502,1683,1500,1676,1494,1675,1490,1675,1481,1676,1477,1683,1471,1687,1470,1696,1470,1699,1471,1706,1477,1707,1481,1707,1486,1707,1490,1706,1494,1699,1500,1696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(state and federal) California (state and federal) Washington (state and </w:t>
      </w:r>
      <w:r>
        <w:rPr>
          <w:color w:val="6E6158"/>
        </w:rPr>
        <w:t>federal) Ninth 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morg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2025-10-21T19:11:57Z</dcterms:created>
  <dcterms:modified xsi:type="dcterms:W3CDTF">2025-10-21T19:11:57Z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