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76623" y="763308"/>
                            <a:ext cx="17595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MATTHEW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WM. NELSON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69940" y="2133494"/>
                            <a:ext cx="772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Bernardino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9347" y="2500373"/>
                            <a:ext cx="15138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mnelson@fennemorelaw.com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68476" y="3756030"/>
                            <a:ext cx="27457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mighty,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shines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light.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pacing w:val="-4"/>
                                  <w:sz w:val="16"/>
                                </w:rPr>
                                <w:t>—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Vincent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Bugliosi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720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MATTHEW</w:t>
                              </w:r>
                              <w:r>
                                <w:rPr>
                                  <w:b/>
                                  <w:color w:val="FF810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WM.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NELSON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31;top:1762;width:277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MATTHEW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WM. NELSON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8;top:3919;width:121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Bernardino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909.723.1812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24;top:4497;width:238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mnelson@fennemorelaw.com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968;top:6475;width:432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mighty,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shines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light.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pacing w:val="-4"/>
                            <w:sz w:val="16"/>
                          </w:rPr>
                          <w:t>—</w:t>
                        </w:r>
                        <w:r>
                          <w:rPr>
                            <w:rFonts w:ascii="Arial" w:hAnsi="Arial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Vincent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Bugliosi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71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MATTHEW</w:t>
                        </w:r>
                        <w:r>
                          <w:rPr>
                            <w:b/>
                            <w:color w:val="FF810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WM.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NELSON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ind w:left="104"/>
      </w:pPr>
      <w:r>
        <w:rPr>
          <w:color w:val="6E6158"/>
        </w:rPr>
        <w:t>Matthew</w:t>
      </w:r>
      <w:r>
        <w:rPr>
          <w:color w:val="6E6158"/>
          <w:spacing w:val="10"/>
        </w:rPr>
        <w:t> </w:t>
      </w:r>
      <w:r>
        <w:rPr>
          <w:color w:val="6E6158"/>
        </w:rPr>
        <w:t>Nelson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Bernardino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use,</w:t>
      </w:r>
    </w:p>
    <w:p>
      <w:pPr>
        <w:pStyle w:val="BodyText"/>
        <w:spacing w:before="60"/>
        <w:ind w:left="104"/>
      </w:pPr>
      <w:r>
        <w:rPr>
          <w:color w:val="6E6158"/>
        </w:rPr>
        <w:t>CEQA,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matters.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</w:rPr>
        <w:t>leader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292" w:lineRule="auto" w:before="52"/>
        <w:ind w:left="104" w:right="258"/>
      </w:pPr>
      <w:r>
        <w:rPr>
          <w:color w:val="6E6158"/>
        </w:rPr>
        <w:t>department and has successfully guided major commercial, industrial, health care, </w:t>
      </w:r>
      <w:r>
        <w:rPr>
          <w:color w:val="6E6158"/>
        </w:rPr>
        <w:t>educational,</w:t>
      </w:r>
      <w:r>
        <w:rPr>
          <w:color w:val="6E6158"/>
          <w:spacing w:val="40"/>
        </w:rPr>
        <w:t> </w:t>
      </w:r>
      <w:r>
        <w:rPr>
          <w:color w:val="6E6158"/>
        </w:rPr>
        <w:t>and retail developers, as well as mining and transportation interests, through the challenges of</w:t>
      </w:r>
      <w:r>
        <w:rPr>
          <w:color w:val="6E6158"/>
          <w:spacing w:val="40"/>
        </w:rPr>
        <w:t> </w:t>
      </w:r>
      <w:r>
        <w:rPr>
          <w:color w:val="6E6158"/>
        </w:rPr>
        <w:t>obtaining</w:t>
      </w:r>
      <w:r>
        <w:rPr>
          <w:color w:val="6E6158"/>
          <w:spacing w:val="30"/>
        </w:rPr>
        <w:t> </w:t>
      </w:r>
      <w:r>
        <w:rPr>
          <w:color w:val="6E6158"/>
        </w:rPr>
        <w:t>approvals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permits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wide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federal,</w:t>
      </w:r>
      <w:r>
        <w:rPr>
          <w:color w:val="6E6158"/>
          <w:spacing w:val="30"/>
        </w:rPr>
        <w:t> </w:t>
      </w:r>
      <w:r>
        <w:rPr>
          <w:color w:val="6E6158"/>
        </w:rPr>
        <w:t>state,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local</w:t>
      </w:r>
      <w:r>
        <w:rPr>
          <w:color w:val="6E6158"/>
          <w:spacing w:val="30"/>
        </w:rPr>
        <w:t> </w:t>
      </w:r>
      <w:r>
        <w:rPr>
          <w:color w:val="6E6158"/>
        </w:rPr>
        <w:t>jurisdictions.</w:t>
      </w:r>
    </w:p>
    <w:p>
      <w:pPr>
        <w:pStyle w:val="BodyText"/>
        <w:spacing w:before="205"/>
        <w:ind w:left="104"/>
      </w:pP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takes</w:t>
      </w:r>
      <w:r>
        <w:rPr>
          <w:color w:val="6E6158"/>
          <w:spacing w:val="12"/>
        </w:rPr>
        <w:t> </w:t>
      </w:r>
      <w:r>
        <w:rPr>
          <w:color w:val="6E6158"/>
        </w:rPr>
        <w:t>great</w:t>
      </w:r>
      <w:r>
        <w:rPr>
          <w:color w:val="6E6158"/>
          <w:spacing w:val="12"/>
        </w:rPr>
        <w:t> </w:t>
      </w:r>
      <w:r>
        <w:rPr>
          <w:color w:val="6E6158"/>
        </w:rPr>
        <w:t>pride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skillfully</w:t>
      </w:r>
      <w:r>
        <w:rPr>
          <w:color w:val="6E6158"/>
          <w:spacing w:val="12"/>
        </w:rPr>
        <w:t> </w:t>
      </w:r>
      <w:r>
        <w:rPr>
          <w:color w:val="6E6158"/>
        </w:rPr>
        <w:t>assisting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implementation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5" w:lineRule="auto" w:before="52"/>
        <w:ind w:left="104" w:right="258"/>
      </w:pPr>
      <w:r>
        <w:rPr>
          <w:color w:val="6E6158"/>
        </w:rPr>
        <w:t>strategies,</w:t>
      </w:r>
      <w:r>
        <w:rPr>
          <w:color w:val="6E6158"/>
          <w:spacing w:val="39"/>
        </w:rPr>
        <w:t> </w:t>
      </w:r>
      <w:r>
        <w:rPr>
          <w:color w:val="6E6158"/>
        </w:rPr>
        <w:t>which</w:t>
      </w:r>
      <w:r>
        <w:rPr>
          <w:color w:val="6E6158"/>
          <w:spacing w:val="39"/>
        </w:rPr>
        <w:t> </w:t>
      </w:r>
      <w:r>
        <w:rPr>
          <w:color w:val="6E6158"/>
        </w:rPr>
        <w:t>includes</w:t>
      </w:r>
      <w:r>
        <w:rPr>
          <w:color w:val="6E6158"/>
          <w:spacing w:val="39"/>
        </w:rPr>
        <w:t> </w:t>
      </w:r>
      <w:r>
        <w:rPr>
          <w:color w:val="6E6158"/>
        </w:rPr>
        <w:t>providing</w:t>
      </w:r>
      <w:r>
        <w:rPr>
          <w:color w:val="6E6158"/>
          <w:spacing w:val="39"/>
        </w:rPr>
        <w:t> </w:t>
      </w:r>
      <w:r>
        <w:rPr>
          <w:color w:val="6E6158"/>
        </w:rPr>
        <w:t>pragmatic</w:t>
      </w:r>
      <w:r>
        <w:rPr>
          <w:color w:val="6E6158"/>
          <w:spacing w:val="39"/>
        </w:rPr>
        <w:t> </w:t>
      </w:r>
      <w:r>
        <w:rPr>
          <w:color w:val="6E6158"/>
        </w:rPr>
        <w:t>counsel</w:t>
      </w:r>
      <w:r>
        <w:rPr>
          <w:color w:val="6E6158"/>
          <w:spacing w:val="39"/>
        </w:rPr>
        <w:t> </w:t>
      </w:r>
      <w:r>
        <w:rPr>
          <w:color w:val="6E6158"/>
        </w:rPr>
        <w:t>on</w:t>
      </w:r>
      <w:r>
        <w:rPr>
          <w:color w:val="6E6158"/>
          <w:spacing w:val="39"/>
        </w:rPr>
        <w:t> </w:t>
      </w:r>
      <w:r>
        <w:rPr>
          <w:color w:val="6E6158"/>
        </w:rPr>
        <w:t>legislative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administrative</w:t>
      </w:r>
      <w:r>
        <w:rPr>
          <w:color w:val="6E6158"/>
          <w:spacing w:val="39"/>
        </w:rPr>
        <w:t> </w:t>
      </w:r>
      <w:r>
        <w:rPr>
          <w:color w:val="6E6158"/>
        </w:rPr>
        <w:t>land use approvals such as the development of impacted properties, redevelopment projects,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tentative</w:t>
      </w:r>
      <w:r>
        <w:rPr>
          <w:color w:val="6E6158"/>
          <w:spacing w:val="40"/>
        </w:rPr>
        <w:t> </w:t>
      </w:r>
      <w:r>
        <w:rPr>
          <w:color w:val="6E6158"/>
        </w:rPr>
        <w:t>maps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subdivision</w:t>
      </w:r>
      <w:r>
        <w:rPr>
          <w:color w:val="6E6158"/>
          <w:spacing w:val="40"/>
        </w:rPr>
        <w:t> </w:t>
      </w:r>
      <w:r>
        <w:rPr>
          <w:color w:val="6E6158"/>
        </w:rPr>
        <w:t>map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zoning, general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amendments,</w:t>
      </w:r>
      <w:r>
        <w:rPr>
          <w:color w:val="6E6158"/>
          <w:spacing w:val="38"/>
        </w:rPr>
        <w:t> </w:t>
      </w:r>
      <w:r>
        <w:rPr>
          <w:color w:val="6E6158"/>
        </w:rPr>
        <w:t>specific</w:t>
      </w:r>
      <w:r>
        <w:rPr>
          <w:color w:val="6E6158"/>
          <w:spacing w:val="38"/>
        </w:rPr>
        <w:t> </w:t>
      </w:r>
      <w:r>
        <w:rPr>
          <w:color w:val="6E6158"/>
        </w:rPr>
        <w:t>plans,</w:t>
      </w:r>
      <w:r>
        <w:rPr>
          <w:color w:val="6E6158"/>
          <w:spacing w:val="38"/>
        </w:rPr>
        <w:t> </w:t>
      </w:r>
      <w:r>
        <w:rPr>
          <w:color w:val="6E6158"/>
        </w:rPr>
        <w:t>traffic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transportation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conditional</w:t>
      </w:r>
      <w:r>
        <w:rPr>
          <w:color w:val="6E6158"/>
          <w:spacing w:val="38"/>
        </w:rPr>
        <w:t> </w:t>
      </w:r>
      <w:r>
        <w:rPr>
          <w:color w:val="6E6158"/>
        </w:rPr>
        <w:t>use</w:t>
      </w:r>
    </w:p>
    <w:p>
      <w:pPr>
        <w:pStyle w:val="BodyText"/>
        <w:spacing w:before="1"/>
        <w:ind w:left="104"/>
      </w:pPr>
      <w:r>
        <w:rPr>
          <w:color w:val="6E6158"/>
        </w:rPr>
        <w:t>permits,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variances.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104" w:right="258"/>
      </w:pPr>
      <w:r>
        <w:rPr>
          <w:color w:val="6E6158"/>
        </w:rPr>
        <w:t>Matt has extensive experience in land use and environmental CEQA document review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entitlement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centers;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</w:p>
    <w:p>
      <w:pPr>
        <w:pStyle w:val="BodyText"/>
        <w:spacing w:line="292" w:lineRule="auto" w:before="10"/>
        <w:ind w:left="104"/>
      </w:pPr>
      <w:r>
        <w:rPr>
          <w:color w:val="6E6158"/>
        </w:rPr>
        <w:t>developments; and mining and transportation clients. He provides oversight to ensure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review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approvals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sufficient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legally</w:t>
      </w:r>
      <w:r>
        <w:rPr>
          <w:color w:val="6E6158"/>
          <w:spacing w:val="40"/>
        </w:rPr>
        <w:t> </w:t>
      </w:r>
      <w:r>
        <w:rPr>
          <w:color w:val="6E6158"/>
        </w:rPr>
        <w:t>defensible.</w:t>
      </w:r>
    </w:p>
    <w:p>
      <w:pPr>
        <w:pStyle w:val="BodyText"/>
        <w:spacing w:line="295" w:lineRule="auto" w:before="196"/>
        <w:ind w:left="104" w:right="258"/>
      </w:pPr>
      <w:r>
        <w:rPr>
          <w:color w:val="6E6158"/>
        </w:rPr>
        <w:t>He is also involved in many high-profile projects currently operational, under construction,</w:t>
      </w:r>
      <w:r>
        <w:rPr>
          <w:color w:val="6E6158"/>
          <w:spacing w:val="40"/>
        </w:rPr>
        <w:t> </w:t>
      </w:r>
      <w:r>
        <w:rPr>
          <w:color w:val="6E6158"/>
        </w:rPr>
        <w:t>approved, or in development throughout the Inland Empire and greater Southern California,</w:t>
      </w:r>
      <w:r>
        <w:rPr>
          <w:color w:val="6E6158"/>
          <w:spacing w:val="40"/>
        </w:rPr>
        <w:t> </w:t>
      </w:r>
      <w:r>
        <w:rPr>
          <w:color w:val="6E6158"/>
        </w:rPr>
        <w:t>where he has earned a reputation for moving projects through challenges and obstacles with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pragmatism.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157682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5925pt;width:1.65pt;height:1.65pt;mso-position-horizontal-relative:page;mso-position-vertical-relative:paragraph;z-index:15729152" id="docshape16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8"/>
        <w:ind w:left="35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664" id="docshape17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Riverside,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Heading1"/>
        <w:spacing w:before="21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left="356" w:right="77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157934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759pt;width:1.65pt;height:1.65pt;mso-position-horizontal-relative:page;mso-position-vertical-relative:paragraph;z-index:15730176" id="docshape18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416299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951pt;width:1.65pt;height:1.65pt;mso-position-horizontal-relative:page;mso-position-vertical-relative:paragraph;z-index:15730688" id="docshape19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420" w:lineRule="auto"/>
        <w:ind w:left="356" w:right="66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59871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4301pt;width:1.65pt;height:1.65pt;mso-position-horizontal-relative:page;mso-position-vertical-relative:paragraph;z-index:15731200" id="docshape20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318237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58052pt;width:1.65pt;height:1.65pt;mso-position-horizontal-relative:page;mso-position-vertical-relative:paragraph;z-index:15731712" id="docshape21" coordorigin="1675,501" coordsize="33,33" path="m1696,534l1687,534,1683,532,1676,526,1675,522,1675,513,1676,509,1683,503,1687,501,1696,501,1699,503,1706,509,1707,513,1707,517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</w:t>
      </w:r>
      <w:r>
        <w:rPr>
          <w:color w:val="6E6158"/>
          <w:spacing w:val="-2"/>
        </w:rPr>
        <w:t>Logistics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58862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34831pt;width:1.65pt;height:1.65pt;mso-position-horizontal-relative:page;mso-position-vertical-relative:paragraph;z-index:15732224" id="docshape22" coordorigin="1675,93" coordsize="33,33" path="m1696,125l1687,125,1683,124,1676,117,1675,113,1675,104,1676,101,1683,94,1687,93,1696,93,1699,94,1706,101,1707,104,1707,109,1707,113,1706,117,1699,124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245961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7062pt;width:1.65pt;height:1.65pt;mso-position-horizontal-relative:page;mso-position-vertical-relative:paragraph;z-index:15732736" id="docshape23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Entitled two different 1,000,000 square foot warehouse/distribution center projects in the High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Desert.</w:t>
      </w:r>
    </w:p>
    <w:p>
      <w:pPr>
        <w:pStyle w:val="BodyText"/>
        <w:spacing w:line="302" w:lineRule="auto" w:before="123"/>
        <w:ind w:left="356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236066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7908pt;width:1.65pt;height:1.65pt;mso-position-horizontal-relative:page;mso-position-vertical-relative:paragraph;z-index:15733248" id="docshape24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Entitled over ten warehouse/distribution centers ranging from 200,000 to 1,200,000 square </w:t>
      </w:r>
      <w:r>
        <w:rPr>
          <w:color w:val="6E6158"/>
        </w:rPr>
        <w:t>feet</w:t>
      </w:r>
      <w:r>
        <w:rPr>
          <w:color w:val="6E6158"/>
          <w:spacing w:val="80"/>
        </w:rPr>
        <w:t> </w:t>
      </w:r>
      <w:r>
        <w:rPr>
          <w:color w:val="6E6158"/>
        </w:rPr>
        <w:t>in the Inland Empire</w:t>
      </w:r>
    </w:p>
    <w:p>
      <w:pPr>
        <w:pStyle w:val="BodyText"/>
        <w:spacing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131398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46316pt;width:1.65pt;height:1.65pt;mso-position-horizontal-relative:page;mso-position-vertical-relative:paragraph;z-index:15733760" id="docshape25" coordorigin="1675,207" coordsize="33,33" path="m1696,239l1687,239,1683,238,1676,232,1675,228,1675,219,1676,215,1683,209,1687,207,1696,207,1699,209,1706,215,1707,219,1707,223,1707,228,1706,232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Entitled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100+</w:t>
      </w:r>
      <w:r>
        <w:rPr>
          <w:color w:val="6E6158"/>
          <w:spacing w:val="12"/>
        </w:rPr>
        <w:t> </w:t>
      </w:r>
      <w:r>
        <w:rPr>
          <w:color w:val="6E6158"/>
        </w:rPr>
        <w:t>bed</w:t>
      </w:r>
      <w:r>
        <w:rPr>
          <w:color w:val="6E6158"/>
          <w:spacing w:val="12"/>
        </w:rPr>
        <w:t> </w:t>
      </w:r>
      <w:r>
        <w:rPr>
          <w:color w:val="6E6158"/>
        </w:rPr>
        <w:t>hospital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</w:rPr>
        <w:t>building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Riverside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County</w:t>
      </w:r>
    </w:p>
    <w:p>
      <w:pPr>
        <w:pStyle w:val="BodyText"/>
        <w:spacing w:line="292" w:lineRule="auto" w:before="174"/>
        <w:ind w:left="356" w:righ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263094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611pt;width:1.65pt;height:1.65pt;mso-position-horizontal-relative:page;mso-position-vertical-relative:paragraph;z-index:15734272" id="docshape26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Entitled over ten commercial shopping center projects ranging from 200,000 to 400,000 square</w:t>
      </w:r>
      <w:r>
        <w:rPr>
          <w:color w:val="6E6158"/>
          <w:spacing w:val="40"/>
        </w:rPr>
        <w:t> </w:t>
      </w:r>
      <w:r>
        <w:rPr>
          <w:color w:val="6E6158"/>
        </w:rPr>
        <w:t>feet throughout Southern California.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6" w:right="43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152515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9068pt;width:1.65pt;height:1.65pt;mso-position-horizontal-relative:page;mso-position-vertical-relative:paragraph;z-index:15734784" id="docshape27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416048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9689pt;width:1.65pt;height:1.65pt;mso-position-horizontal-relative:page;mso-position-vertical-relative:paragraph;z-index:15735296" id="docshape28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674413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03439pt;width:1.65pt;height:1.65pt;mso-position-horizontal-relative:page;mso-position-vertical-relative:paragraph;z-index:15735808" id="docshape29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Riverside County Bar Association Member, San Bernardino County Bar </w:t>
      </w:r>
      <w:r>
        <w:rPr>
          <w:color w:val="6E6158"/>
        </w:rPr>
        <w:t>Association Leadership Riverside, Class of 2010</w:t>
      </w:r>
    </w:p>
    <w:p>
      <w:pPr>
        <w:pStyle w:val="BodyText"/>
        <w:spacing w:line="420" w:lineRule="auto" w:before="6"/>
        <w:ind w:left="356" w:right="43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63458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6732pt;width:1.65pt;height:1.65pt;mso-position-horizontal-relative:page;mso-position-vertical-relative:paragraph;z-index:15736320" id="docshape30" coordorigin="1675,100" coordsize="33,33" path="m1696,132l1687,132,1683,131,1676,125,1675,121,1675,112,1676,108,1683,102,1687,100,1696,100,1699,102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321824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0475pt;width:1.65pt;height:1.65pt;mso-position-horizontal-relative:page;mso-position-vertical-relative:paragraph;z-index:15736832" id="docshape31" coordorigin="1675,507" coordsize="33,33" path="m1696,539l1687,539,1683,538,1676,531,1675,528,1675,519,1676,515,1683,508,1687,507,1696,507,1699,508,1706,515,1707,519,1707,523,1707,528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UC Riverside Athletics </w:t>
      </w:r>
      <w:r>
        <w:rPr>
          <w:color w:val="6E6158"/>
        </w:rPr>
        <w:t>Association Scoutmaster, Boy Scout Troop 90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6" w:right="77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157733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999pt;width:1.65pt;height:1.65pt;mso-position-horizontal-relative:page;mso-position-vertical-relative:paragraph;z-index:15737344" id="docshape3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416099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3741pt;width:1.65pt;height:1.65pt;mso-position-horizontal-relative:page;mso-position-vertical-relative:paragraph;z-index:15737856" id="docshape33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before="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64014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40541pt;width:1.65pt;height:1.65pt;mso-position-horizontal-relative:page;mso-position-vertical-relative:paragraph;z-index:15738368" id="docshape34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175176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3451pt;width:1.65pt;height:1.65pt;mso-position-horizontal-relative:page;mso-position-vertical-relative:paragraph;z-index:15738880" id="docshape35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mnel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2025-10-21T04:55:27Z</dcterms:created>
  <dcterms:modified xsi:type="dcterms:W3CDTF">2025-10-21T04:55:27Z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