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06003" y="763308"/>
                            <a:ext cx="13004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MICHELE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STEPHEN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6229" y="2133494"/>
                            <a:ext cx="36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7201" y="2500373"/>
                            <a:ext cx="15982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mstephen@fennemorelaw.com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92;top:1762;width:204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MICHELE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STEPHEN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32;top:3919;width:56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206.749.0500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206.749.0600</w:t>
                        </w:r>
                      </w:p>
                    </w:txbxContent>
                  </v:textbox>
                  <w10:wrap type="none"/>
                </v:shape>
                <v:shape style="position:absolute;left:7258;top:4497;width:251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mstephen@fennemorelaw.com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1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MICHELE</w:t>
      </w:r>
      <w:r>
        <w:rPr>
          <w:color w:val="FF8100"/>
          <w:spacing w:val="6"/>
        </w:rPr>
        <w:t> </w:t>
      </w:r>
      <w:r>
        <w:rPr>
          <w:color w:val="FF8100"/>
        </w:rPr>
        <w:t>L.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STEPHEN</w:t>
      </w:r>
    </w:p>
    <w:p>
      <w:pPr>
        <w:pStyle w:val="BodyText"/>
        <w:spacing w:line="295" w:lineRule="auto" w:before="146"/>
        <w:ind w:left="104"/>
      </w:pPr>
      <w:r>
        <w:rPr>
          <w:color w:val="6E6158"/>
        </w:rPr>
        <w:t>Michele has extensive complex commercial litigation experience representing corporate and</w:t>
      </w:r>
      <w:r>
        <w:rPr>
          <w:color w:val="6E6158"/>
          <w:spacing w:val="40"/>
        </w:rPr>
        <w:t> </w:t>
      </w:r>
      <w:r>
        <w:rPr>
          <w:color w:val="6E6158"/>
        </w:rPr>
        <w:t>entrepreneurial clients in state and federal courts in disputes involving intellectual property,</w:t>
      </w:r>
      <w:r>
        <w:rPr>
          <w:color w:val="6E6158"/>
          <w:spacing w:val="40"/>
        </w:rPr>
        <w:t> </w:t>
      </w:r>
      <w:r>
        <w:rPr>
          <w:color w:val="6E6158"/>
        </w:rPr>
        <w:t>commercial and partnership contracts, business torts, and other complex matters. Michele </w:t>
      </w:r>
      <w:r>
        <w:rPr>
          <w:color w:val="6E6158"/>
        </w:rPr>
        <w:t>earns</w:t>
      </w:r>
      <w:r>
        <w:rPr>
          <w:color w:val="6E6158"/>
          <w:spacing w:val="40"/>
        </w:rPr>
        <w:t> </w:t>
      </w:r>
      <w:r>
        <w:rPr>
          <w:color w:val="6E6158"/>
        </w:rPr>
        <w:t>client</w:t>
      </w:r>
      <w:r>
        <w:rPr>
          <w:color w:val="6E6158"/>
          <w:spacing w:val="39"/>
        </w:rPr>
        <w:t> </w:t>
      </w:r>
      <w:r>
        <w:rPr>
          <w:color w:val="6E6158"/>
        </w:rPr>
        <w:t>loyalty</w:t>
      </w:r>
      <w:r>
        <w:rPr>
          <w:color w:val="6E6158"/>
          <w:spacing w:val="39"/>
        </w:rPr>
        <w:t> </w:t>
      </w:r>
      <w:r>
        <w:rPr>
          <w:color w:val="6E6158"/>
        </w:rPr>
        <w:t>through</w:t>
      </w:r>
      <w:r>
        <w:rPr>
          <w:color w:val="6E6158"/>
          <w:spacing w:val="39"/>
        </w:rPr>
        <w:t> </w:t>
      </w:r>
      <w:r>
        <w:rPr>
          <w:color w:val="6E6158"/>
        </w:rPr>
        <w:t>informed,</w:t>
      </w:r>
      <w:r>
        <w:rPr>
          <w:color w:val="6E6158"/>
          <w:spacing w:val="39"/>
        </w:rPr>
        <w:t> </w:t>
      </w:r>
      <w:r>
        <w:rPr>
          <w:color w:val="6E6158"/>
        </w:rPr>
        <w:t>tenacious</w:t>
      </w:r>
      <w:r>
        <w:rPr>
          <w:color w:val="6E6158"/>
          <w:spacing w:val="39"/>
        </w:rPr>
        <w:t> </w:t>
      </w:r>
      <w:r>
        <w:rPr>
          <w:color w:val="6E6158"/>
        </w:rPr>
        <w:t>representation,</w:t>
      </w:r>
      <w:r>
        <w:rPr>
          <w:color w:val="6E6158"/>
          <w:spacing w:val="39"/>
        </w:rPr>
        <w:t> </w:t>
      </w:r>
      <w:r>
        <w:rPr>
          <w:color w:val="6E6158"/>
        </w:rPr>
        <w:t>balanced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driven</w:t>
      </w:r>
      <w:r>
        <w:rPr>
          <w:color w:val="6E6158"/>
          <w:spacing w:val="39"/>
        </w:rPr>
        <w:t> </w:t>
      </w:r>
      <w:r>
        <w:rPr>
          <w:color w:val="6E6158"/>
        </w:rPr>
        <w:t>by</w:t>
      </w:r>
      <w:r>
        <w:rPr>
          <w:color w:val="6E6158"/>
          <w:spacing w:val="39"/>
        </w:rPr>
        <w:t> </w:t>
      </w:r>
      <w:r>
        <w:rPr>
          <w:color w:val="6E6158"/>
        </w:rPr>
        <w:t>business</w:t>
      </w:r>
    </w:p>
    <w:p>
      <w:pPr>
        <w:pStyle w:val="BodyText"/>
        <w:spacing w:line="297" w:lineRule="auto" w:before="2"/>
        <w:ind w:left="104" w:right="328"/>
        <w:jc w:val="both"/>
      </w:pPr>
      <w:r>
        <w:rPr>
          <w:color w:val="6E6158"/>
        </w:rPr>
        <w:t>needs. Her ability to develop and marshal a multitude of facts in a strategic and cohesive way leads to successful results for her clients, whether achieved at trial or in a favorable settlement. Michele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counsels</w:t>
      </w:r>
      <w:r>
        <w:rPr>
          <w:color w:val="6E6158"/>
          <w:spacing w:val="26"/>
        </w:rPr>
        <w:t> </w:t>
      </w:r>
      <w:r>
        <w:rPr>
          <w:color w:val="6E6158"/>
        </w:rPr>
        <w:t>clients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pre-litigation</w:t>
      </w:r>
      <w:r>
        <w:rPr>
          <w:color w:val="6E6158"/>
          <w:spacing w:val="26"/>
        </w:rPr>
        <w:t> </w:t>
      </w:r>
      <w:r>
        <w:rPr>
          <w:color w:val="6E6158"/>
        </w:rPr>
        <w:t>planning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strategy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litigation</w:t>
      </w:r>
      <w:r>
        <w:rPr>
          <w:color w:val="6E6158"/>
          <w:spacing w:val="26"/>
        </w:rPr>
        <w:t> </w:t>
      </w:r>
      <w:r>
        <w:rPr>
          <w:color w:val="6E6158"/>
        </w:rPr>
        <w:t>avoidance.</w:t>
      </w:r>
    </w:p>
    <w:p>
      <w:pPr>
        <w:pStyle w:val="BodyText"/>
        <w:spacing w:line="297" w:lineRule="auto" w:before="191"/>
        <w:ind w:left="104" w:right="203"/>
      </w:pPr>
      <w:r>
        <w:rPr>
          <w:color w:val="6E6158"/>
        </w:rPr>
        <w:t>Before joining Fennemore, Michele was a partner in Savitt Bruce &amp; Willey LLP and, before that, a</w:t>
      </w:r>
      <w:r>
        <w:rPr>
          <w:color w:val="6E6158"/>
          <w:spacing w:val="40"/>
        </w:rPr>
        <w:t> </w:t>
      </w:r>
      <w:r>
        <w:rPr>
          <w:color w:val="6E6158"/>
        </w:rPr>
        <w:t>partner at Freeborn &amp; Peters in Chicago. Michele is a graduate of Loyola University Chicago</w:t>
      </w:r>
      <w:r>
        <w:rPr>
          <w:color w:val="6E6158"/>
          <w:spacing w:val="40"/>
        </w:rPr>
        <w:t> </w:t>
      </w:r>
      <w:r>
        <w:rPr>
          <w:color w:val="6E6158"/>
        </w:rPr>
        <w:t>School of Law.</w:t>
      </w:r>
    </w:p>
    <w:p>
      <w:pPr>
        <w:pStyle w:val="BodyText"/>
        <w:spacing w:line="295" w:lineRule="auto" w:before="191"/>
        <w:ind w:left="104" w:right="309"/>
      </w:pPr>
      <w:r>
        <w:rPr>
          <w:color w:val="6E6158"/>
        </w:rPr>
        <w:t>Michele was born and raised in sunny San Diego, which she willingly left to attend law school in</w:t>
      </w:r>
      <w:r>
        <w:rPr>
          <w:color w:val="6E6158"/>
          <w:spacing w:val="40"/>
        </w:rPr>
        <w:t> </w:t>
      </w:r>
      <w:r>
        <w:rPr>
          <w:color w:val="6E6158"/>
        </w:rPr>
        <w:t>Chicago and experience true winter. After buying her first winter coat, she spent almost eleven</w:t>
      </w:r>
      <w:r>
        <w:rPr>
          <w:color w:val="6E6158"/>
          <w:spacing w:val="40"/>
        </w:rPr>
        <w:t> </w:t>
      </w:r>
      <w:r>
        <w:rPr>
          <w:color w:val="6E6158"/>
        </w:rPr>
        <w:t>years there before coming to Seattle in 2007 with her husband. They and their son enjoy</w:t>
      </w:r>
      <w:r>
        <w:rPr>
          <w:color w:val="6E6158"/>
          <w:spacing w:val="40"/>
        </w:rPr>
        <w:t> </w:t>
      </w:r>
      <w:r>
        <w:rPr>
          <w:color w:val="6E6158"/>
        </w:rPr>
        <w:t>continued exploration of all the Pacific Northwest has to offer.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right="42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157676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5465pt;width:1.65pt;height:1.65pt;mso-position-horizontal-relative:page;mso-position-vertical-relative:paragraph;z-index:15729152" id="docshape11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416041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9209pt;width:1.65pt;height:1.65pt;mso-position-horizontal-relative:page;mso-position-vertical-relative:paragraph;z-index:15729664" id="docshape12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Loyola University of Chicago School of </w:t>
      </w:r>
      <w:r>
        <w:rPr>
          <w:color w:val="6E6158"/>
        </w:rPr>
        <w:t>Law</w:t>
      </w:r>
      <w:r>
        <w:rPr>
          <w:color w:val="6E6158"/>
        </w:rPr>
        <w:t> B.A., San Diego State University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70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152804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186pt;width:1.65pt;height:1.65pt;mso-position-horizontal-relative:page;mso-position-vertical-relative:paragraph;z-index:15730176" id="docshape13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416337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2475pt;width:1.65pt;height:1.65pt;mso-position-horizontal-relative:page;mso-position-vertical-relative:paragraph;z-index:15730688" id="docshape14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Intellectual </w:t>
      </w:r>
      <w:r>
        <w:rPr>
          <w:color w:val="6E6158"/>
        </w:rPr>
        <w:t>Property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spacing w:line="295" w:lineRule="auto" w:before="13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338400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645742pt;width:1.65pt;height:1.65pt;mso-position-horizontal-relative:page;mso-position-vertical-relative:paragraph;z-index:15731200" id="docshape15" coordorigin="1675,533" coordsize="33,33" path="m1696,565l1687,565,1683,564,1676,558,1675,554,1675,545,1676,541,1683,535,1687,533,1696,533,1699,535,1706,541,1707,545,1707,549,1707,554,1706,558,1699,564,1696,5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Nippon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Dynawave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Packaging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Co.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North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Pacific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Paper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Company.</w:t>
      </w:r>
      <w:r>
        <w:rPr>
          <w:b/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Prosecuted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and defended counterclaims arising from site services agreement for interconnected industrial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facilities; obtained favorable settlement.</w:t>
      </w:r>
    </w:p>
    <w:p>
      <w:pPr>
        <w:spacing w:after="0" w:line="295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78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394644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74392pt;width:1.65pt;height:1.65pt;mso-position-horizontal-relative:page;mso-position-vertical-relative:paragraph;z-index:15731712" id="docshape16" coordorigin="1675,621" coordsize="33,33" path="m1696,654l1687,654,1683,652,1676,646,1675,642,1675,633,1676,629,1683,623,1687,621,1696,621,1699,623,1706,629,1707,633,1707,638,1707,642,1706,646,1699,652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Move, Inc., et al. v. Zillow, Inc., et al. </w:t>
      </w:r>
      <w:r>
        <w:rPr>
          <w:color w:val="6E6158"/>
        </w:rPr>
        <w:t>Represented executive defending against trade secret and employment claims in lawsuit seeking $2 billion in damages and career-ending relief;</w:t>
      </w:r>
      <w:r>
        <w:rPr>
          <w:color w:val="6E6158"/>
          <w:spacing w:val="40"/>
        </w:rPr>
        <w:t> </w:t>
      </w:r>
      <w:r>
        <w:rPr>
          <w:color w:val="6E6158"/>
        </w:rPr>
        <w:t>obtained summary judgment on purported trade secret document, defended at </w:t>
      </w:r>
      <w:r>
        <w:rPr>
          <w:color w:val="6E6158"/>
        </w:rPr>
        <w:t>evidentiary</w:t>
      </w:r>
      <w:r>
        <w:rPr>
          <w:color w:val="6E6158"/>
          <w:spacing w:val="40"/>
        </w:rPr>
        <w:t> </w:t>
      </w:r>
      <w:r>
        <w:rPr>
          <w:color w:val="6E6158"/>
        </w:rPr>
        <w:t>hearing spoliation allegations, and obtained favorable settlement prior to trial.</w:t>
      </w:r>
    </w:p>
    <w:p>
      <w:pPr>
        <w:pStyle w:val="BodyText"/>
        <w:spacing w:line="288" w:lineRule="auto" w:before="108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413844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586143pt;width:1.65pt;height:1.65pt;mso-position-horizontal-relative:page;mso-position-vertical-relative:paragraph;z-index:15732224" id="docshape17" coordorigin="1675,652" coordsize="33,33" path="m1696,684l1687,684,1683,683,1676,676,1675,672,1675,664,1676,660,1683,653,1687,652,1696,652,1699,653,1706,660,1707,664,1707,668,1707,672,1706,676,1699,683,1696,6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InfoFlows v. Corbis. </w:t>
      </w:r>
      <w:r>
        <w:rPr>
          <w:color w:val="6E6158"/>
        </w:rPr>
        <w:t>Prosecuted claims for misappropriation of trade secrets, fraud and breach of contract relating to digital image tracking technology, and defended related</w:t>
      </w:r>
    </w:p>
    <w:p>
      <w:pPr>
        <w:pStyle w:val="BodyText"/>
        <w:spacing w:line="292" w:lineRule="auto" w:before="14"/>
        <w:ind w:right="309"/>
      </w:pPr>
      <w:r>
        <w:rPr>
          <w:color w:val="6E6158"/>
        </w:rPr>
        <w:t>counterclaims; obtained $36 million jury verdict and defeated counterclaims in three-week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295" w:lineRule="auto" w:before="114"/>
        <w:ind w:right="2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691038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412479pt;width:1.65pt;height:1.65pt;mso-position-horizontal-relative:page;mso-position-vertical-relative:paragraph;z-index:15732736" id="docshape18" coordorigin="1675,1088" coordsize="33,33" path="m1696,1121l1687,1121,1683,1119,1676,1113,1675,1109,1675,1100,1676,1096,1683,1090,1687,1088,1696,1088,1699,1090,1706,1096,1707,1100,1707,1105,1707,1109,1706,1113,1699,1119,1696,11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Superwood Co. Ltd. v. Slam Brands, Inc., et al. </w:t>
      </w:r>
      <w:r>
        <w:rPr>
          <w:color w:val="6E6158"/>
        </w:rPr>
        <w:t>Engaged at close of discovery to replace prior counsel and represent Defendants regarding breach of contract claims and counterclaims</w:t>
      </w:r>
      <w:r>
        <w:rPr>
          <w:color w:val="6E6158"/>
          <w:spacing w:val="40"/>
        </w:rPr>
        <w:t> </w:t>
      </w:r>
      <w:r>
        <w:rPr>
          <w:color w:val="6E6158"/>
        </w:rPr>
        <w:t>under the UCC, as well as related tort claims and counterclaims concerning the manufacture</w:t>
      </w:r>
      <w:r>
        <w:rPr>
          <w:color w:val="6E6158"/>
          <w:spacing w:val="80"/>
        </w:rPr>
        <w:t> </w:t>
      </w:r>
      <w:r>
        <w:rPr>
          <w:color w:val="6E6158"/>
        </w:rPr>
        <w:t>of furniture in China by Plaintiff; established significant off-set amounts due to our client on a</w:t>
      </w:r>
      <w:r>
        <w:rPr>
          <w:color w:val="6E6158"/>
          <w:spacing w:val="40"/>
        </w:rPr>
        <w:t> </w:t>
      </w:r>
      <w:r>
        <w:rPr>
          <w:color w:val="6E6158"/>
        </w:rPr>
        <w:t>successful motion for partial summary judgment, and defeated Plaintiff’s motion for partial</w:t>
      </w:r>
      <w:r>
        <w:rPr>
          <w:color w:val="6E6158"/>
          <w:spacing w:val="40"/>
        </w:rPr>
        <w:t> </w:t>
      </w:r>
      <w:r>
        <w:rPr>
          <w:color w:val="6E6158"/>
        </w:rPr>
        <w:t>summary judgment; following a bench trial, which included an additional award of contract</w:t>
      </w:r>
      <w:r>
        <w:rPr>
          <w:color w:val="6E6158"/>
          <w:spacing w:val="40"/>
        </w:rPr>
        <w:t> </w:t>
      </w:r>
      <w:r>
        <w:rPr>
          <w:color w:val="6E6158"/>
        </w:rPr>
        <w:t>damages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client,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matter</w:t>
      </w:r>
      <w:r>
        <w:rPr>
          <w:color w:val="6E6158"/>
          <w:spacing w:val="31"/>
        </w:rPr>
        <w:t> </w:t>
      </w:r>
      <w:r>
        <w:rPr>
          <w:color w:val="6E6158"/>
        </w:rPr>
        <w:t>was</w:t>
      </w:r>
      <w:r>
        <w:rPr>
          <w:color w:val="6E6158"/>
          <w:spacing w:val="31"/>
        </w:rPr>
        <w:t> </w:t>
      </w:r>
      <w:r>
        <w:rPr>
          <w:color w:val="6E6158"/>
        </w:rPr>
        <w:t>favorably</w:t>
      </w:r>
      <w:r>
        <w:rPr>
          <w:color w:val="6E6158"/>
          <w:spacing w:val="31"/>
        </w:rPr>
        <w:t> </w:t>
      </w:r>
      <w:r>
        <w:rPr>
          <w:color w:val="6E6158"/>
        </w:rPr>
        <w:t>resolved</w:t>
      </w:r>
      <w:r>
        <w:rPr>
          <w:color w:val="6E6158"/>
          <w:spacing w:val="31"/>
        </w:rPr>
        <w:t> </w:t>
      </w:r>
      <w:r>
        <w:rPr>
          <w:color w:val="6E6158"/>
        </w:rPr>
        <w:t>by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confidential</w:t>
      </w:r>
      <w:r>
        <w:rPr>
          <w:color w:val="6E6158"/>
          <w:spacing w:val="31"/>
        </w:rPr>
        <w:t> </w:t>
      </w:r>
      <w:r>
        <w:rPr>
          <w:color w:val="6E6158"/>
        </w:rPr>
        <w:t>settlement.</w:t>
      </w:r>
    </w:p>
    <w:p>
      <w:pPr>
        <w:spacing w:line="288" w:lineRule="auto" w:before="11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415398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08576pt;width:1.65pt;height:1.65pt;mso-position-horizontal-relative:page;mso-position-vertical-relative:paragraph;z-index:15733248" id="docshape19" coordorigin="1675,654" coordsize="33,33" path="m1696,687l1687,687,1683,685,1676,679,1675,675,1675,666,1676,662,1683,656,1687,654,1696,654,1699,656,1706,662,1707,666,1707,670,1707,675,1706,679,1699,685,1696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Optistor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Technologies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Nutanix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Defended cloud software and infrastructure-</w:t>
      </w:r>
      <w:r>
        <w:rPr>
          <w:color w:val="6E6158"/>
          <w:sz w:val="19"/>
        </w:rPr>
        <w:t>solution provider and its employee against claims for breach of contract, trade secret</w:t>
      </w:r>
    </w:p>
    <w:p>
      <w:pPr>
        <w:pStyle w:val="BodyText"/>
        <w:spacing w:line="292" w:lineRule="auto" w:before="14"/>
        <w:ind w:right="309"/>
      </w:pPr>
      <w:r>
        <w:rPr>
          <w:color w:val="6E6158"/>
        </w:rPr>
        <w:t>misappropriation, and tortious interference; obtained summary judgment ruling,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voiding of employee non-compete, and then favorable settlement.</w:t>
      </w:r>
    </w:p>
    <w:p>
      <w:pPr>
        <w:pStyle w:val="BodyText"/>
        <w:spacing w:line="295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504665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9.737411pt;width:1.65pt;height:1.65pt;mso-position-horizontal-relative:page;mso-position-vertical-relative:paragraph;z-index:15733760" id="docshape20" coordorigin="1675,795" coordsize="33,33" path="m1696,827l1687,827,1683,826,1676,819,1675,816,1675,807,1676,803,1683,796,1687,795,1696,795,1699,796,1706,803,1707,807,1707,811,1707,816,1706,819,1699,826,1696,8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ChemPoint v. Xenon Arc Inc., et al. </w:t>
      </w:r>
      <w:r>
        <w:rPr>
          <w:color w:val="6E6158"/>
        </w:rPr>
        <w:t>Defended technology startup and its founders against claims for misappropriation of trade secrets, false advertising, usurpation of corporate opportunity and breach of fiduciary duty; obtained ruling entitling clients to advancement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fees under plaintiff’s articles of incorporation, partial summary judgment, and then favorable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settlement.</w:t>
      </w:r>
    </w:p>
    <w:p>
      <w:pPr>
        <w:spacing w:line="297" w:lineRule="auto" w:before="107"/>
        <w:ind w:left="356" w:right="309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Taylor,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City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of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Seattle,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City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Light.</w:t>
      </w:r>
      <w:r>
        <w:rPr>
          <w:b/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Engaged during discovery to serve as co-counsel with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Seattle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Attorney’s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Office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defending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two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former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one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current</w:t>
      </w:r>
    </w:p>
    <w:p>
      <w:pPr>
        <w:pStyle w:val="BodyText"/>
        <w:spacing w:line="292" w:lineRule="auto"/>
        <w:ind w:right="2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61258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823498pt;width:1.65pt;height:1.65pt;mso-position-horizontal-relative:page;mso-position-vertical-relative:paragraph;z-index:15734272" id="docshape21" coordorigin="1675,96" coordsize="33,33" path="m1696,129l1687,129,1683,127,1676,121,1675,117,1675,108,1676,104,1683,98,1687,96,1696,96,1699,98,1706,104,1707,108,1707,113,1707,117,1706,121,1699,127,1696,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employees’ claims under Washington Law Against Discrimination for age, gender, and </w:t>
      </w:r>
      <w:r>
        <w:rPr>
          <w:color w:val="6E6158"/>
        </w:rPr>
        <w:t>sexual orientation</w:t>
      </w:r>
      <w:r>
        <w:rPr>
          <w:color w:val="6E6158"/>
          <w:spacing w:val="40"/>
        </w:rPr>
        <w:t> </w:t>
      </w:r>
      <w:r>
        <w:rPr>
          <w:color w:val="6E6158"/>
        </w:rPr>
        <w:t>discrimination,</w:t>
      </w:r>
      <w:r>
        <w:rPr>
          <w:color w:val="6E6158"/>
          <w:spacing w:val="40"/>
        </w:rPr>
        <w:t> </w:t>
      </w:r>
      <w:r>
        <w:rPr>
          <w:color w:val="6E6158"/>
        </w:rPr>
        <w:t>retaliation,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hostile</w:t>
      </w:r>
      <w:r>
        <w:rPr>
          <w:color w:val="6E6158"/>
          <w:spacing w:val="40"/>
        </w:rPr>
        <w:t> </w:t>
      </w:r>
      <w:r>
        <w:rPr>
          <w:color w:val="6E6158"/>
        </w:rPr>
        <w:t>work</w:t>
      </w:r>
      <w:r>
        <w:rPr>
          <w:color w:val="6E6158"/>
          <w:spacing w:val="40"/>
        </w:rPr>
        <w:t> </w:t>
      </w:r>
      <w:r>
        <w:rPr>
          <w:color w:val="6E6158"/>
        </w:rPr>
        <w:t>environment;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defendant’s motions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summary</w:t>
      </w:r>
      <w:r>
        <w:rPr>
          <w:color w:val="6E6158"/>
          <w:spacing w:val="36"/>
        </w:rPr>
        <w:t> </w:t>
      </w:r>
      <w:r>
        <w:rPr>
          <w:color w:val="6E6158"/>
        </w:rPr>
        <w:t>judgment</w:t>
      </w:r>
      <w:r>
        <w:rPr>
          <w:color w:val="6E6158"/>
          <w:spacing w:val="36"/>
        </w:rPr>
        <w:t> </w:t>
      </w:r>
      <w:r>
        <w:rPr>
          <w:color w:val="6E6158"/>
        </w:rPr>
        <w:t>were</w:t>
      </w:r>
      <w:r>
        <w:rPr>
          <w:color w:val="6E6158"/>
          <w:spacing w:val="36"/>
        </w:rPr>
        <w:t> </w:t>
      </w:r>
      <w:r>
        <w:rPr>
          <w:color w:val="6E6158"/>
        </w:rPr>
        <w:t>pending,</w:t>
      </w:r>
      <w:r>
        <w:rPr>
          <w:color w:val="6E6158"/>
          <w:spacing w:val="36"/>
        </w:rPr>
        <w:t> </w:t>
      </w:r>
      <w:r>
        <w:rPr>
          <w:color w:val="6E6158"/>
        </w:rPr>
        <w:t>case</w:t>
      </w:r>
      <w:r>
        <w:rPr>
          <w:color w:val="6E6158"/>
          <w:spacing w:val="36"/>
        </w:rPr>
        <w:t> </w:t>
      </w:r>
      <w:r>
        <w:rPr>
          <w:color w:val="6E6158"/>
        </w:rPr>
        <w:t>settled</w:t>
      </w:r>
      <w:r>
        <w:rPr>
          <w:color w:val="6E6158"/>
          <w:spacing w:val="36"/>
        </w:rPr>
        <w:t> </w:t>
      </w:r>
      <w:r>
        <w:rPr>
          <w:color w:val="6E6158"/>
        </w:rPr>
        <w:t>on</w:t>
      </w:r>
      <w:r>
        <w:rPr>
          <w:color w:val="6E6158"/>
          <w:spacing w:val="36"/>
        </w:rPr>
        <w:t> </w:t>
      </w:r>
      <w:r>
        <w:rPr>
          <w:color w:val="6E6158"/>
        </w:rPr>
        <w:t>confidential</w:t>
      </w:r>
      <w:r>
        <w:rPr>
          <w:color w:val="6E6158"/>
          <w:spacing w:val="36"/>
        </w:rPr>
        <w:t> </w:t>
      </w:r>
      <w:r>
        <w:rPr>
          <w:color w:val="6E6158"/>
        </w:rPr>
        <w:t>terms.</w:t>
      </w:r>
    </w:p>
    <w:p>
      <w:pPr>
        <w:spacing w:line="290" w:lineRule="auto" w:before="117"/>
        <w:ind w:left="356" w:right="38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325950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665407pt;width:1.65pt;height:1.65pt;mso-position-horizontal-relative:page;mso-position-vertical-relative:paragraph;z-index:15734784" id="docshape22" coordorigin="1675,513" coordsize="33,33" path="m1696,546l1687,546,1683,544,1676,538,1675,534,1675,525,1676,521,1683,515,1687,513,1696,513,1699,515,1706,521,1707,525,1707,530,1707,534,1706,538,1699,544,1696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Estates</w:t>
      </w:r>
      <w:r>
        <w:rPr>
          <w:b/>
          <w:i/>
          <w:color w:val="6E6158"/>
          <w:spacing w:val="-5"/>
          <w:sz w:val="20"/>
        </w:rPr>
        <w:t> </w:t>
      </w:r>
      <w:r>
        <w:rPr>
          <w:b/>
          <w:i/>
          <w:color w:val="6E6158"/>
          <w:sz w:val="20"/>
        </w:rPr>
        <w:t>of</w:t>
      </w:r>
      <w:r>
        <w:rPr>
          <w:b/>
          <w:i/>
          <w:color w:val="6E6158"/>
          <w:spacing w:val="-5"/>
          <w:sz w:val="20"/>
        </w:rPr>
        <w:t> </w:t>
      </w:r>
      <w:r>
        <w:rPr>
          <w:b/>
          <w:i/>
          <w:color w:val="6E6158"/>
          <w:sz w:val="20"/>
        </w:rPr>
        <w:t>Diaz,</w:t>
      </w:r>
      <w:r>
        <w:rPr>
          <w:b/>
          <w:i/>
          <w:color w:val="6E6158"/>
          <w:spacing w:val="-5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5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-5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5"/>
          <w:sz w:val="20"/>
        </w:rPr>
        <w:t> </w:t>
      </w:r>
      <w:r>
        <w:rPr>
          <w:b/>
          <w:i/>
          <w:color w:val="6E6158"/>
          <w:sz w:val="20"/>
        </w:rPr>
        <w:t>City</w:t>
      </w:r>
      <w:r>
        <w:rPr>
          <w:b/>
          <w:i/>
          <w:color w:val="6E6158"/>
          <w:spacing w:val="-5"/>
          <w:sz w:val="20"/>
        </w:rPr>
        <w:t> </w:t>
      </w:r>
      <w:r>
        <w:rPr>
          <w:b/>
          <w:i/>
          <w:color w:val="6E6158"/>
          <w:sz w:val="20"/>
        </w:rPr>
        <w:t>and</w:t>
      </w:r>
      <w:r>
        <w:rPr>
          <w:b/>
          <w:i/>
          <w:color w:val="6E6158"/>
          <w:spacing w:val="-5"/>
          <w:sz w:val="20"/>
        </w:rPr>
        <w:t> </w:t>
      </w:r>
      <w:r>
        <w:rPr>
          <w:b/>
          <w:i/>
          <w:color w:val="6E6158"/>
          <w:sz w:val="20"/>
        </w:rPr>
        <w:t>Borough</w:t>
      </w:r>
      <w:r>
        <w:rPr>
          <w:b/>
          <w:i/>
          <w:color w:val="6E6158"/>
          <w:spacing w:val="-5"/>
          <w:sz w:val="20"/>
        </w:rPr>
        <w:t> </w:t>
      </w:r>
      <w:r>
        <w:rPr>
          <w:b/>
          <w:i/>
          <w:color w:val="6E6158"/>
          <w:sz w:val="20"/>
        </w:rPr>
        <w:t>of</w:t>
      </w:r>
      <w:r>
        <w:rPr>
          <w:b/>
          <w:i/>
          <w:color w:val="6E6158"/>
          <w:spacing w:val="-5"/>
          <w:sz w:val="20"/>
        </w:rPr>
        <w:t> </w:t>
      </w:r>
      <w:r>
        <w:rPr>
          <w:b/>
          <w:i/>
          <w:color w:val="6E6158"/>
          <w:sz w:val="20"/>
        </w:rPr>
        <w:t>Sitka,</w:t>
      </w:r>
      <w:r>
        <w:rPr>
          <w:b/>
          <w:i/>
          <w:color w:val="6E6158"/>
          <w:spacing w:val="-5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5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Defended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Borough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Sitka against claims relating to fatal landslide and engineered favorable settlement after substantial discovery and other pretrial practice.</w:t>
      </w:r>
    </w:p>
    <w:p>
      <w:pPr>
        <w:pStyle w:val="BodyText"/>
        <w:spacing w:line="292" w:lineRule="auto" w:before="12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418353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941204pt;width:1.65pt;height:1.65pt;mso-position-horizontal-relative:page;mso-position-vertical-relative:paragraph;z-index:15735296" id="docshape23" coordorigin="1675,659" coordsize="33,33" path="m1696,691l1687,691,1683,690,1676,683,1675,680,1675,671,1676,667,1683,660,1687,659,1696,659,1699,660,1706,667,1707,671,1707,675,1707,680,1706,683,1699,690,1696,6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Alliance Packaging v. Altivity Packaging, et al. </w:t>
      </w:r>
      <w:r>
        <w:rPr>
          <w:color w:val="6E6158"/>
        </w:rPr>
        <w:t>Prosecuted patent infringement claims relating to retail product packaging; prevailed at Markman hearing, defeated </w:t>
      </w:r>
      <w:r>
        <w:rPr>
          <w:color w:val="6E6158"/>
        </w:rPr>
        <w:t>defendant’s</w:t>
      </w:r>
      <w:r>
        <w:rPr>
          <w:color w:val="6E6158"/>
          <w:spacing w:val="40"/>
        </w:rPr>
        <w:t> </w:t>
      </w:r>
      <w:r>
        <w:rPr>
          <w:color w:val="6E6158"/>
        </w:rPr>
        <w:t>summary judgment motions and prevailed on motions for partial summary judgment and</w:t>
      </w:r>
      <w:r>
        <w:rPr>
          <w:color w:val="6E6158"/>
          <w:spacing w:val="40"/>
        </w:rPr>
        <w:t> </w:t>
      </w:r>
      <w:r>
        <w:rPr>
          <w:color w:val="6E6158"/>
        </w:rPr>
        <w:t>motions dismissing counterclaims, and then obtained favorable settlement.</w:t>
      </w:r>
    </w:p>
    <w:p>
      <w:pPr>
        <w:pStyle w:val="BodyText"/>
        <w:spacing w:line="292" w:lineRule="auto" w:before="117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414337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625008pt;width:1.65pt;height:1.65pt;mso-position-horizontal-relative:page;mso-position-vertical-relative:paragraph;z-index:15735808" id="docshape24" coordorigin="1675,653" coordsize="33,33" path="m1696,685l1687,685,1683,683,1676,677,1675,673,1675,664,1676,660,1683,654,1687,653,1696,653,1699,654,1706,660,1707,664,1707,669,1707,673,1706,677,1699,683,1696,6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Seelig v. Seelig. </w:t>
      </w:r>
      <w:r>
        <w:rPr>
          <w:color w:val="6E6158"/>
        </w:rPr>
        <w:t>Defended claims and prosecuted counterclaims involving allocation of </w:t>
      </w:r>
      <w:r>
        <w:rPr>
          <w:color w:val="6E6158"/>
        </w:rPr>
        <w:t>assets and profits from long-term real estate partnerships; obtained summary judgment prevailing on</w:t>
      </w:r>
      <w:r>
        <w:rPr>
          <w:color w:val="6E6158"/>
          <w:spacing w:val="40"/>
        </w:rPr>
        <w:t> </w:t>
      </w:r>
      <w:r>
        <w:rPr>
          <w:color w:val="6E6158"/>
        </w:rPr>
        <w:t>all claims relating to division of assets and profits, and then negotiated settlement to wind up</w:t>
      </w:r>
      <w:r>
        <w:rPr>
          <w:color w:val="6E6158"/>
          <w:spacing w:val="40"/>
        </w:rPr>
        <w:t> </w:t>
      </w:r>
      <w:r>
        <w:rPr>
          <w:color w:val="6E6158"/>
        </w:rPr>
        <w:t>partnerships and distribute monies accordingly to end litigation.</w:t>
      </w:r>
    </w:p>
    <w:p>
      <w:pPr>
        <w:pStyle w:val="BodyText"/>
        <w:spacing w:line="290" w:lineRule="auto" w:before="118"/>
        <w:ind w:right="69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326922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741915pt;width:1.65pt;height:1.65pt;mso-position-horizontal-relative:page;mso-position-vertical-relative:paragraph;z-index:15736320" id="docshape25" coordorigin="1675,515" coordsize="33,33" path="m1696,547l1687,547,1683,546,1676,539,1675,536,1675,527,1676,523,1683,516,1687,515,1696,515,1699,516,1706,523,1707,527,1707,531,1707,536,1706,539,1699,546,1696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Montano v. City of Seattle. </w:t>
      </w:r>
      <w:r>
        <w:rPr>
          <w:color w:val="6E6158"/>
        </w:rPr>
        <w:t>Defended tort and inverse condemnation claims brought by multiple property owners alleging damage resulting from City’s management of </w:t>
      </w:r>
      <w:r>
        <w:rPr>
          <w:color w:val="6E6158"/>
        </w:rPr>
        <w:t>surface water and storm response.</w:t>
      </w:r>
    </w:p>
    <w:p>
      <w:pPr>
        <w:pStyle w:val="Heading1"/>
        <w:spacing w:before="16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5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158065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6077pt;width:1.65pt;height:1.65pt;mso-position-horizontal-relative:page;mso-position-vertical-relative:paragraph;z-index:15736832" id="docshape26" coordorigin="1675,249" coordsize="33,33" path="m1696,281l1687,281,1683,280,1676,274,1675,270,1675,261,1676,257,1683,251,1687,249,1696,249,1699,251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America,</w:t>
      </w:r>
      <w:r>
        <w:rPr>
          <w:color w:val="6E6158"/>
          <w:spacing w:val="14"/>
        </w:rPr>
        <w:t> </w:t>
      </w:r>
      <w:r>
        <w:rPr>
          <w:color w:val="6E6158"/>
        </w:rPr>
        <w:t>2024-</w:t>
      </w:r>
      <w:r>
        <w:rPr>
          <w:color w:val="6E6158"/>
          <w:spacing w:val="-4"/>
        </w:rPr>
        <w:t>2026</w:t>
      </w:r>
    </w:p>
    <w:p>
      <w:pPr>
        <w:pStyle w:val="BodyText"/>
        <w:spacing w:after="0"/>
        <w:jc w:val="both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959pt;width:1.65pt;height:1.65pt;mso-position-horizontal-relative:page;mso-position-vertical-relative:paragraph;z-index:15737344" id="docshape27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Washington</w:t>
      </w:r>
      <w:r>
        <w:rPr>
          <w:color w:val="6E6158"/>
          <w:spacing w:val="16"/>
        </w:rPr>
        <w:t> </w:t>
      </w:r>
      <w:r>
        <w:rPr>
          <w:color w:val="6E6158"/>
        </w:rPr>
        <w:t>Super</w:t>
      </w:r>
      <w:r>
        <w:rPr>
          <w:color w:val="6E6158"/>
          <w:spacing w:val="17"/>
        </w:rPr>
        <w:t> </w:t>
      </w:r>
      <w:r>
        <w:rPr>
          <w:color w:val="6E6158"/>
        </w:rPr>
        <w:t>Lawyers,</w:t>
      </w:r>
      <w:r>
        <w:rPr>
          <w:color w:val="6E6158"/>
          <w:spacing w:val="17"/>
        </w:rPr>
        <w:t> </w:t>
      </w:r>
      <w:r>
        <w:rPr>
          <w:color w:val="6E6158"/>
        </w:rPr>
        <w:t>2017-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004pt;width:1.65pt;height:1.65pt;mso-position-horizontal-relative:page;mso-position-vertical-relative:paragraph;z-index:15737856" id="docshape28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Washington</w:t>
      </w:r>
      <w:r>
        <w:rPr>
          <w:color w:val="6E6158"/>
          <w:spacing w:val="9"/>
        </w:rPr>
        <w:t> </w:t>
      </w:r>
      <w:r>
        <w:rPr>
          <w:color w:val="6E6158"/>
        </w:rPr>
        <w:t>Super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Top</w:t>
      </w:r>
      <w:r>
        <w:rPr>
          <w:color w:val="6E6158"/>
          <w:spacing w:val="9"/>
        </w:rPr>
        <w:t> </w:t>
      </w:r>
      <w:r>
        <w:rPr>
          <w:color w:val="6E6158"/>
        </w:rPr>
        <w:t>Women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Washington,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Heading1"/>
        <w:spacing w:before="22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152968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44781pt;width:1.65pt;height:1.65pt;mso-position-horizontal-relative:page;mso-position-vertical-relative:paragraph;z-index:15738368" id="docshape29" coordorigin="1675,241" coordsize="33,33" path="m1696,273l1687,273,1683,272,1676,266,1675,262,1675,253,1676,249,1683,242,1687,241,1696,241,1699,242,1706,249,1707,253,1707,257,1707,262,1706,266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Provisional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Remedies: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Washington,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Practical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Law,</w:t>
        </w:r>
      </w:hyperlink>
      <w:r>
        <w:rPr>
          <w:color w:val="6E6158"/>
        </w:rPr>
        <w:t>”</w:t>
      </w:r>
      <w:r>
        <w:rPr>
          <w:color w:val="6E6158"/>
          <w:spacing w:val="15"/>
        </w:rPr>
        <w:t> </w:t>
      </w:r>
      <w:r>
        <w:rPr>
          <w:color w:val="6E6158"/>
        </w:rPr>
        <w:t>Thomson</w:t>
      </w:r>
      <w:r>
        <w:rPr>
          <w:color w:val="6E6158"/>
          <w:spacing w:val="14"/>
        </w:rPr>
        <w:t> </w:t>
      </w:r>
      <w:r>
        <w:rPr>
          <w:color w:val="6E6158"/>
        </w:rPr>
        <w:t>Reuters,</w:t>
      </w:r>
      <w:r>
        <w:rPr>
          <w:color w:val="6E6158"/>
          <w:spacing w:val="15"/>
        </w:rPr>
        <w:t> </w:t>
      </w:r>
      <w:r>
        <w:rPr>
          <w:color w:val="6E6158"/>
        </w:rPr>
        <w:t>August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263075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4575pt;width:1.65pt;height:1.65pt;mso-position-horizontal-relative:page;mso-position-vertical-relative:paragraph;z-index:15738880" id="docshape30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Covering Your Bases: Practical Tips to Deal with and Avoid Litigation, Washington Association of Corporate Counsel, 2013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54"/>
        <w:ind w:right="17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157575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7533pt;width:1.65pt;height:1.65pt;mso-position-horizontal-relative:page;mso-position-vertical-relative:paragraph;z-index:15739392" id="docshape31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415941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1282pt;width:1.65pt;height:1.65pt;mso-position-horizontal-relative:page;mso-position-vertical-relative:paragraph;z-index:15739904" id="docshape32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Federal Bar Association of the Western District of </w:t>
      </w:r>
      <w:r>
        <w:rPr>
          <w:color w:val="6E6158"/>
        </w:rPr>
        <w:t>Washington Member, American Bar Association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63943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4937pt;width:1.65pt;height:1.65pt;mso-position-horizontal-relative:page;mso-position-vertical-relative:paragraph;z-index:15740416" id="docshape33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Washington</w:t>
      </w:r>
      <w:r>
        <w:rPr>
          <w:color w:val="6E6158"/>
          <w:spacing w:val="7"/>
        </w:rPr>
        <w:t> </w: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70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158031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3417pt;width:1.65pt;height:1.65pt;mso-position-horizontal-relative:page;mso-position-vertical-relative:paragraph;z-index:15740928" id="docshape34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416396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7163pt;width:1.65pt;height:1.65pt;mso-position-horizontal-relative:page;mso-position-vertical-relative:paragraph;z-index:15741440" id="docshape35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Washington California</w:t>
      </w:r>
    </w:p>
    <w:p>
      <w:pPr>
        <w:pStyle w:val="BodyText"/>
        <w:spacing w:line="422" w:lineRule="auto"/>
        <w:ind w:right="36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59968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21959pt;width:1.65pt;height:1.65pt;mso-position-horizontal-relative:page;mso-position-vertical-relative:paragraph;z-index:15741952" id="docshape36" coordorigin="1675,94" coordsize="33,33" path="m1696,127l1687,127,1683,125,1676,119,1675,115,1675,106,1676,102,1683,96,1687,94,1696,94,1699,96,1706,102,1707,106,1707,111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318334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06571pt;width:1.65pt;height:1.65pt;mso-position-horizontal-relative:page;mso-position-vertical-relative:paragraph;z-index:15742464" id="docshape37" coordorigin="1675,501" coordsize="33,33" path="m1696,534l1687,534,1683,532,1676,526,1675,522,1675,513,1676,509,1683,503,1687,501,1696,501,1699,503,1706,509,1707,513,1707,518,1707,522,1706,526,1699,532,1696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576700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409458pt;width:1.65pt;height:1.65pt;mso-position-horizontal-relative:page;mso-position-vertical-relative:paragraph;z-index:15742976" id="docshape38" coordorigin="1675,908" coordsize="33,33" path="m1696,941l1687,941,1683,939,1676,933,1675,929,1675,920,1676,916,1683,910,1687,908,1696,908,1699,910,1706,916,1707,920,1707,924,1707,929,1706,933,1699,939,1696,9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835065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5.753204pt;width:1.65pt;height:1.65pt;mso-position-horizontal-relative:page;mso-position-vertical-relative:paragraph;z-index:15743488" id="docshape39" coordorigin="1675,1315" coordsize="33,33" path="m1696,1348l1687,1348,1683,1346,1676,1340,1675,1336,1675,1327,1676,1323,1683,1317,1687,1315,1696,1315,1699,1317,1706,1323,1707,1327,1707,1331,1707,1336,1706,1340,1699,1346,1696,13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Court, Western District of </w:t>
      </w:r>
      <w:r>
        <w:rPr>
          <w:color w:val="6E6158"/>
        </w:rPr>
        <w:t>Washington United States District Court, Northern District of Illinois</w:t>
      </w:r>
      <w:r>
        <w:rPr>
          <w:color w:val="6E6158"/>
          <w:spacing w:val="80"/>
        </w:rPr>
        <w:t> </w:t>
      </w:r>
      <w:r>
        <w:rPr>
          <w:color w:val="6E6158"/>
        </w:rPr>
        <w:t>United States District Court, Northern District of California United States District Court, Eastern District of 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mstephen@fennemorelaw.com" TargetMode="External"/><Relationship Id="rId11" Type="http://schemas.openxmlformats.org/officeDocument/2006/relationships/hyperlink" Target="http://us.practicallaw.com/w-000-638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2025-10-11T00:24:17Z</dcterms:created>
  <dcterms:modified xsi:type="dcterms:W3CDTF">2025-10-11T00:24:17Z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2025-10-11T00:00:00Z</vt:filetime>
  </property>
  <property fmtid="{D5CDD505-2E9C-101B-9397-08002B2CF9AE}" pid="5" name="Producer">
    <vt:lpwstr>Skia/PDF m117</vt:lpwstr>
  </property>
</Properties>
</file>