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88806" y="763308"/>
                            <a:ext cx="13347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ROBERT 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TOOKOIAN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0358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71088" y="2500373"/>
                            <a:ext cx="15703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rtookoian@fennemorelaw.com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65;top:1762;width:210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ROBERT 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TOOKOIAN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5;top:391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79;top:4497;width:247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rtookoian@fennemorelaw.com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21"/>
        <w:ind w:left="0"/>
        <w:rPr>
          <w:rFonts w:ascii="Times New Roman"/>
          <w:sz w:val="24"/>
        </w:rPr>
      </w:pPr>
    </w:p>
    <w:p>
      <w:pPr>
        <w:pStyle w:val="Heading2"/>
      </w:pPr>
      <w:r>
        <w:rPr>
          <w:color w:val="002E6B"/>
        </w:rPr>
        <w:t>ROBERT</w:t>
      </w:r>
      <w:r>
        <w:rPr>
          <w:color w:val="002E6B"/>
          <w:spacing w:val="6"/>
        </w:rPr>
        <w:t> </w:t>
      </w:r>
      <w:r>
        <w:rPr>
          <w:color w:val="002E6B"/>
        </w:rPr>
        <w:t>D.</w:t>
      </w:r>
      <w:r>
        <w:rPr>
          <w:color w:val="002E6B"/>
          <w:spacing w:val="6"/>
        </w:rPr>
        <w:t> </w:t>
      </w:r>
      <w:r>
        <w:rPr>
          <w:color w:val="002E6B"/>
          <w:spacing w:val="-2"/>
        </w:rPr>
        <w:t>TOOKOIAN</w:t>
      </w:r>
    </w:p>
    <w:p>
      <w:pPr>
        <w:pStyle w:val="BodyText"/>
        <w:spacing w:line="297" w:lineRule="auto" w:before="146"/>
        <w:ind w:left="104" w:right="378"/>
      </w:pPr>
      <w:r>
        <w:rPr>
          <w:color w:val="6E6158"/>
        </w:rPr>
        <w:t>Rob represents a broad range of clients in general business, transactions, contracts, healthcare</w:t>
      </w:r>
      <w:r>
        <w:rPr>
          <w:color w:val="6E6158"/>
          <w:spacing w:val="40"/>
        </w:rPr>
        <w:t> </w:t>
      </w:r>
      <w:r>
        <w:rPr>
          <w:color w:val="6E6158"/>
        </w:rPr>
        <w:t>law, privacy compliance, and real estate transactions. His diverse and extensive legal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background</w:t>
      </w:r>
      <w:r>
        <w:rPr>
          <w:color w:val="6E6158"/>
          <w:spacing w:val="38"/>
        </w:rPr>
        <w:t> </w:t>
      </w:r>
      <w:r>
        <w:rPr>
          <w:color w:val="6E6158"/>
        </w:rPr>
        <w:t>allows</w:t>
      </w:r>
      <w:r>
        <w:rPr>
          <w:color w:val="6E6158"/>
          <w:spacing w:val="38"/>
        </w:rPr>
        <w:t> </w:t>
      </w:r>
      <w:r>
        <w:rPr>
          <w:color w:val="6E6158"/>
        </w:rPr>
        <w:t>Rob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counsel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owners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management</w:t>
      </w:r>
      <w:r>
        <w:rPr>
          <w:color w:val="6E6158"/>
          <w:spacing w:val="38"/>
        </w:rPr>
        <w:t> </w:t>
      </w:r>
      <w:r>
        <w:rPr>
          <w:color w:val="6E6158"/>
        </w:rPr>
        <w:t>providing</w:t>
      </w:r>
    </w:p>
    <w:p>
      <w:pPr>
        <w:pStyle w:val="BodyText"/>
        <w:spacing w:line="297" w:lineRule="auto"/>
        <w:ind w:left="104" w:right="378"/>
      </w:pPr>
      <w:r>
        <w:rPr>
          <w:color w:val="6E6158"/>
        </w:rPr>
        <w:t>practical, business-oriented solutions to complex legal problems. His clients include such varied</w:t>
      </w:r>
      <w:r>
        <w:rPr>
          <w:color w:val="6E6158"/>
          <w:spacing w:val="40"/>
        </w:rPr>
        <w:t> </w:t>
      </w:r>
      <w:r>
        <w:rPr>
          <w:color w:val="6E6158"/>
        </w:rPr>
        <w:t>industries and service groups as healthcare providers, government entities, and food </w:t>
      </w:r>
      <w:r>
        <w:rPr>
          <w:color w:val="6E6158"/>
        </w:rPr>
        <w:t>processors,</w:t>
      </w:r>
      <w:r>
        <w:rPr>
          <w:color w:val="6E6158"/>
          <w:spacing w:val="40"/>
        </w:rPr>
        <w:t> </w:t>
      </w:r>
      <w:r>
        <w:rPr>
          <w:color w:val="6E6158"/>
        </w:rPr>
        <w:t>as well as agribusiness, technology, and health benefit companies.</w:t>
      </w:r>
    </w:p>
    <w:p>
      <w:pPr>
        <w:pStyle w:val="BodyText"/>
        <w:spacing w:line="292" w:lineRule="auto" w:before="188"/>
        <w:ind w:left="104" w:right="176"/>
      </w:pPr>
      <w:r>
        <w:rPr>
          <w:color w:val="6E6158"/>
        </w:rPr>
        <w:t>Rob began practice in the San Francisco Bay Area as counsel and General Counsel to internet</w:t>
      </w:r>
      <w:r>
        <w:rPr>
          <w:color w:val="6E6158"/>
          <w:spacing w:val="40"/>
        </w:rPr>
        <w:t> </w:t>
      </w:r>
      <w:r>
        <w:rPr>
          <w:color w:val="6E6158"/>
        </w:rPr>
        <w:t>and “high-tech” companies. He has been in-house counsel for start-ups, early-stage, and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companies,</w:t>
      </w:r>
      <w:r>
        <w:rPr>
          <w:color w:val="6E6158"/>
          <w:spacing w:val="35"/>
        </w:rPr>
        <w:t> </w:t>
      </w:r>
      <w:r>
        <w:rPr>
          <w:color w:val="6E6158"/>
        </w:rPr>
        <w:t>working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service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licensing</w:t>
      </w:r>
      <w:r>
        <w:rPr>
          <w:color w:val="6E6158"/>
          <w:spacing w:val="35"/>
        </w:rPr>
        <w:t> </w:t>
      </w:r>
      <w:r>
        <w:rPr>
          <w:color w:val="6E6158"/>
        </w:rPr>
        <w:t>agreements,</w:t>
      </w:r>
      <w:r>
        <w:rPr>
          <w:color w:val="6E6158"/>
          <w:spacing w:val="35"/>
        </w:rPr>
        <w:t> </w:t>
      </w:r>
      <w:r>
        <w:rPr>
          <w:color w:val="6E6158"/>
        </w:rPr>
        <w:t>compliance,</w:t>
      </w:r>
      <w:r>
        <w:rPr>
          <w:color w:val="6E6158"/>
          <w:spacing w:val="35"/>
        </w:rPr>
        <w:t> </w:t>
      </w:r>
      <w:r>
        <w:rPr>
          <w:color w:val="6E6158"/>
        </w:rPr>
        <w:t>real</w:t>
      </w:r>
      <w:r>
        <w:rPr>
          <w:color w:val="6E6158"/>
          <w:spacing w:val="35"/>
        </w:rPr>
        <w:t> </w:t>
      </w:r>
      <w:r>
        <w:rPr>
          <w:color w:val="6E6158"/>
        </w:rPr>
        <w:t>property</w:t>
      </w:r>
    </w:p>
    <w:p>
      <w:pPr>
        <w:pStyle w:val="BodyText"/>
        <w:spacing w:before="10"/>
        <w:ind w:left="104"/>
      </w:pPr>
      <w:r>
        <w:rPr>
          <w:color w:val="6E6158"/>
        </w:rPr>
        <w:t>transactions,</w:t>
      </w:r>
      <w:r>
        <w:rPr>
          <w:color w:val="6E6158"/>
          <w:spacing w:val="12"/>
        </w:rPr>
        <w:t> </w:t>
      </w:r>
      <w:r>
        <w:rPr>
          <w:color w:val="6E6158"/>
        </w:rPr>
        <w:t>IP,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corporate</w:t>
      </w:r>
      <w:r>
        <w:rPr>
          <w:color w:val="6E6158"/>
          <w:spacing w:val="12"/>
        </w:rPr>
        <w:t> </w:t>
      </w:r>
      <w:r>
        <w:rPr>
          <w:color w:val="6E6158"/>
        </w:rPr>
        <w:t>governance,</w:t>
      </w:r>
      <w:r>
        <w:rPr>
          <w:color w:val="6E6158"/>
          <w:spacing w:val="13"/>
        </w:rPr>
        <w:t> </w:t>
      </w:r>
      <w:r>
        <w:rPr>
          <w:color w:val="6E6158"/>
        </w:rPr>
        <w:t>among</w:t>
      </w:r>
      <w:r>
        <w:rPr>
          <w:color w:val="6E6158"/>
          <w:spacing w:val="12"/>
        </w:rPr>
        <w:t> </w:t>
      </w:r>
      <w:r>
        <w:rPr>
          <w:color w:val="6E6158"/>
        </w:rPr>
        <w:t>other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services.</w:t>
      </w:r>
    </w:p>
    <w:p>
      <w:pPr>
        <w:pStyle w:val="BodyText"/>
        <w:spacing w:before="14"/>
        <w:ind w:left="0"/>
      </w:pPr>
    </w:p>
    <w:p>
      <w:pPr>
        <w:pStyle w:val="BodyText"/>
        <w:ind w:left="104"/>
      </w:pPr>
      <w:r>
        <w:rPr>
          <w:color w:val="6E6158"/>
        </w:rPr>
        <w:t>Rob</w:t>
      </w:r>
      <w:r>
        <w:rPr>
          <w:color w:val="6E6158"/>
          <w:spacing w:val="10"/>
        </w:rPr>
        <w:t> </w:t>
      </w:r>
      <w:r>
        <w:rPr>
          <w:color w:val="6E6158"/>
        </w:rPr>
        <w:t>has</w:t>
      </w:r>
      <w:r>
        <w:rPr>
          <w:color w:val="6E6158"/>
          <w:spacing w:val="11"/>
        </w:rPr>
        <w:t> </w:t>
      </w:r>
      <w:r>
        <w:rPr>
          <w:color w:val="6E6158"/>
        </w:rPr>
        <w:t>spent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last</w:t>
      </w:r>
      <w:r>
        <w:rPr>
          <w:color w:val="6E6158"/>
          <w:spacing w:val="11"/>
        </w:rPr>
        <w:t> </w:t>
      </w:r>
      <w:r>
        <w:rPr>
          <w:color w:val="6E6158"/>
        </w:rPr>
        <w:t>20-plus</w:t>
      </w:r>
      <w:r>
        <w:rPr>
          <w:color w:val="6E6158"/>
          <w:spacing w:val="11"/>
        </w:rPr>
        <w:t> </w:t>
      </w:r>
      <w:r>
        <w:rPr>
          <w:color w:val="6E6158"/>
        </w:rPr>
        <w:t>years</w:t>
      </w:r>
      <w:r>
        <w:rPr>
          <w:color w:val="6E6158"/>
          <w:spacing w:val="11"/>
        </w:rPr>
        <w:t> </w:t>
      </w:r>
      <w:r>
        <w:rPr>
          <w:color w:val="6E6158"/>
        </w:rPr>
        <w:t>working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small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midsize</w:t>
      </w:r>
      <w:r>
        <w:rPr>
          <w:color w:val="6E6158"/>
          <w:spacing w:val="11"/>
        </w:rPr>
        <w:t> </w:t>
      </w:r>
      <w:r>
        <w:rPr>
          <w:color w:val="6E6158"/>
        </w:rPr>
        <w:t>organizations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provide</w:t>
      </w:r>
    </w:p>
    <w:p>
      <w:pPr>
        <w:pStyle w:val="BodyText"/>
        <w:spacing w:line="295" w:lineRule="auto" w:before="52"/>
        <w:ind w:left="104" w:right="378"/>
      </w:pPr>
      <w:r>
        <w:rPr>
          <w:color w:val="6E6158"/>
        </w:rPr>
        <w:t>strategic guidance on growth and transactions, as well as complex litigation, compliance,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public entity defense. In his healthcare practice, Rob assists clients with formation, contract</w:t>
      </w:r>
      <w:r>
        <w:rPr>
          <w:color w:val="6E6158"/>
          <w:spacing w:val="40"/>
        </w:rPr>
        <w:t> </w:t>
      </w:r>
      <w:r>
        <w:rPr>
          <w:color w:val="6E6158"/>
        </w:rPr>
        <w:t>negotiation and preparation, growth strategies, employment matters, regulatory and</w:t>
      </w:r>
      <w:r>
        <w:rPr>
          <w:color w:val="6E6158"/>
          <w:spacing w:val="40"/>
        </w:rPr>
        <w:t> </w:t>
      </w:r>
      <w:r>
        <w:rPr>
          <w:color w:val="6E6158"/>
        </w:rPr>
        <w:t>contractual</w:t>
      </w:r>
      <w:r>
        <w:rPr>
          <w:color w:val="6E6158"/>
          <w:spacing w:val="33"/>
        </w:rPr>
        <w:t> </w:t>
      </w:r>
      <w:r>
        <w:rPr>
          <w:color w:val="6E6158"/>
        </w:rPr>
        <w:t>compliance,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risk</w:t>
      </w:r>
      <w:r>
        <w:rPr>
          <w:color w:val="6E6158"/>
          <w:spacing w:val="33"/>
        </w:rPr>
        <w:t> </w:t>
      </w:r>
      <w:r>
        <w:rPr>
          <w:color w:val="6E6158"/>
        </w:rPr>
        <w:t>mitigation.</w:t>
      </w:r>
      <w:r>
        <w:rPr>
          <w:color w:val="6E6158"/>
          <w:spacing w:val="33"/>
        </w:rPr>
        <w:t> </w:t>
      </w:r>
      <w:r>
        <w:rPr>
          <w:color w:val="6E6158"/>
        </w:rPr>
        <w:t>Rob</w:t>
      </w:r>
      <w:r>
        <w:rPr>
          <w:color w:val="6E6158"/>
          <w:spacing w:val="33"/>
        </w:rPr>
        <w:t> </w:t>
      </w:r>
      <w:r>
        <w:rPr>
          <w:color w:val="6E6158"/>
        </w:rPr>
        <w:t>regularly</w:t>
      </w:r>
      <w:r>
        <w:rPr>
          <w:color w:val="6E6158"/>
          <w:spacing w:val="33"/>
        </w:rPr>
        <w:t> </w:t>
      </w:r>
      <w:r>
        <w:rPr>
          <w:color w:val="6E6158"/>
        </w:rPr>
        <w:t>counsels</w:t>
      </w:r>
      <w:r>
        <w:rPr>
          <w:color w:val="6E6158"/>
          <w:spacing w:val="33"/>
        </w:rPr>
        <w:t> </w:t>
      </w:r>
      <w:r>
        <w:rPr>
          <w:color w:val="6E6158"/>
        </w:rPr>
        <w:t>his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about</w:t>
      </w:r>
      <w:r>
        <w:rPr>
          <w:color w:val="6E6158"/>
          <w:spacing w:val="33"/>
        </w:rPr>
        <w:t> </w:t>
      </w:r>
      <w:r>
        <w:rPr>
          <w:color w:val="6E6158"/>
        </w:rPr>
        <w:t>HIPAA,</w:t>
      </w:r>
    </w:p>
    <w:p>
      <w:pPr>
        <w:pStyle w:val="BodyText"/>
        <w:spacing w:before="1"/>
        <w:ind w:left="104"/>
      </w:pPr>
      <w:r>
        <w:rPr>
          <w:color w:val="6E6158"/>
        </w:rPr>
        <w:t>Stark,</w:t>
      </w:r>
      <w:r>
        <w:rPr>
          <w:color w:val="6E6158"/>
          <w:spacing w:val="13"/>
        </w:rPr>
        <w:t> </w:t>
      </w:r>
      <w:r>
        <w:rPr>
          <w:color w:val="6E6158"/>
        </w:rPr>
        <w:t>Anti-kickback,</w:t>
      </w:r>
      <w:r>
        <w:rPr>
          <w:color w:val="6E6158"/>
          <w:spacing w:val="13"/>
        </w:rPr>
        <w:t> </w:t>
      </w:r>
      <w:r>
        <w:rPr>
          <w:color w:val="6E6158"/>
        </w:rPr>
        <w:t>CCPA,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</w:rPr>
        <w:t>compliance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left="104" w:right="378"/>
      </w:pPr>
      <w:r>
        <w:rPr>
          <w:color w:val="6E6158"/>
        </w:rPr>
        <w:t>Rob is also the Co-Chief Privacy Officer at Fennemore. Outside of work, Rob and his wife stay</w:t>
      </w:r>
      <w:r>
        <w:rPr>
          <w:color w:val="6E6158"/>
          <w:spacing w:val="40"/>
        </w:rPr>
        <w:t> </w:t>
      </w:r>
      <w:r>
        <w:rPr>
          <w:color w:val="6E6158"/>
        </w:rPr>
        <w:t>busy</w:t>
      </w:r>
      <w:r>
        <w:rPr>
          <w:color w:val="6E6158"/>
          <w:spacing w:val="17"/>
        </w:rPr>
        <w:t> </w:t>
      </w:r>
      <w:r>
        <w:rPr>
          <w:color w:val="6E6158"/>
        </w:rPr>
        <w:t>keeping</w:t>
      </w:r>
      <w:r>
        <w:rPr>
          <w:color w:val="6E6158"/>
          <w:spacing w:val="17"/>
        </w:rPr>
        <w:t> </w:t>
      </w:r>
      <w:r>
        <w:rPr>
          <w:color w:val="6E6158"/>
        </w:rPr>
        <w:t>up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young</w:t>
      </w:r>
      <w:r>
        <w:rPr>
          <w:color w:val="6E6158"/>
          <w:spacing w:val="17"/>
        </w:rPr>
        <w:t> </w:t>
      </w:r>
      <w:r>
        <w:rPr>
          <w:color w:val="6E6158"/>
        </w:rPr>
        <w:t>adult</w:t>
      </w:r>
      <w:r>
        <w:rPr>
          <w:color w:val="6E6158"/>
          <w:spacing w:val="17"/>
        </w:rPr>
        <w:t> </w:t>
      </w:r>
      <w:r>
        <w:rPr>
          <w:color w:val="6E6158"/>
        </w:rPr>
        <w:t>children</w:t>
      </w:r>
      <w:r>
        <w:rPr>
          <w:color w:val="6E6158"/>
          <w:spacing w:val="17"/>
        </w:rPr>
        <w:t> </w:t>
      </w:r>
      <w:r>
        <w:rPr>
          <w:color w:val="6E6158"/>
        </w:rPr>
        <w:t>living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three</w:t>
      </w:r>
      <w:r>
        <w:rPr>
          <w:color w:val="6E6158"/>
          <w:spacing w:val="17"/>
        </w:rPr>
        <w:t> </w:t>
      </w:r>
      <w:r>
        <w:rPr>
          <w:color w:val="6E6158"/>
        </w:rPr>
        <w:t>different</w:t>
      </w:r>
      <w:r>
        <w:rPr>
          <w:color w:val="6E6158"/>
          <w:spacing w:val="17"/>
        </w:rPr>
        <w:t> </w:t>
      </w:r>
      <w:r>
        <w:rPr>
          <w:color w:val="6E6158"/>
        </w:rPr>
        <w:t>states.</w:t>
      </w:r>
      <w:r>
        <w:rPr>
          <w:color w:val="6E6158"/>
          <w:spacing w:val="17"/>
        </w:rPr>
        <w:t> </w:t>
      </w:r>
      <w:r>
        <w:rPr>
          <w:color w:val="6E6158"/>
        </w:rPr>
        <w:t>He</w:t>
      </w:r>
      <w:r>
        <w:rPr>
          <w:color w:val="6E6158"/>
          <w:spacing w:val="17"/>
        </w:rPr>
        <w:t> </w:t>
      </w:r>
      <w:r>
        <w:rPr>
          <w:color w:val="6E6158"/>
        </w:rPr>
        <w:t>keeps</w:t>
      </w:r>
      <w:r>
        <w:rPr>
          <w:color w:val="6E6158"/>
          <w:spacing w:val="17"/>
        </w:rPr>
        <w:t> </w:t>
      </w:r>
      <w:r>
        <w:rPr>
          <w:color w:val="6E6158"/>
        </w:rPr>
        <w:t>active</w:t>
      </w:r>
      <w:r>
        <w:rPr>
          <w:color w:val="6E6158"/>
          <w:spacing w:val="17"/>
        </w:rPr>
        <w:t> </w:t>
      </w:r>
      <w:r>
        <w:rPr>
          <w:color w:val="6E6158"/>
        </w:rPr>
        <w:t>by</w:t>
      </w:r>
    </w:p>
    <w:p>
      <w:pPr>
        <w:pStyle w:val="BodyText"/>
        <w:spacing w:line="297" w:lineRule="auto" w:before="2"/>
        <w:ind w:left="104" w:right="176"/>
      </w:pPr>
      <w:r>
        <w:rPr>
          <w:color w:val="6E6158"/>
        </w:rPr>
        <w:t>skiing, hiking, golfing and playing and coaching rugby. Rob grew up in Fresno and has served on</w:t>
      </w:r>
      <w:r>
        <w:rPr>
          <w:color w:val="6E6158"/>
          <w:spacing w:val="40"/>
        </w:rPr>
        <w:t> </w:t>
      </w:r>
      <w:r>
        <w:rPr>
          <w:color w:val="6E6158"/>
        </w:rPr>
        <w:t>the boards of several local non-profit organizations, including The United Way of Fresno County</w:t>
      </w:r>
      <w:r>
        <w:rPr>
          <w:color w:val="6E6158"/>
          <w:spacing w:val="40"/>
        </w:rPr>
        <w:t> </w:t>
      </w:r>
      <w:r>
        <w:rPr>
          <w:color w:val="6E6158"/>
        </w:rPr>
        <w:t>(Secretary),</w:t>
      </w:r>
      <w:r>
        <w:rPr>
          <w:color w:val="6E6158"/>
          <w:spacing w:val="37"/>
        </w:rPr>
        <w:t> </w:t>
      </w:r>
      <w:r>
        <w:rPr>
          <w:color w:val="6E6158"/>
        </w:rPr>
        <w:t>Charlie</w:t>
      </w:r>
      <w:r>
        <w:rPr>
          <w:color w:val="6E6158"/>
          <w:spacing w:val="37"/>
        </w:rPr>
        <w:t> </w:t>
      </w:r>
      <w:r>
        <w:rPr>
          <w:color w:val="6E6158"/>
        </w:rPr>
        <w:t>Keyan</w:t>
      </w:r>
      <w:r>
        <w:rPr>
          <w:color w:val="6E6158"/>
          <w:spacing w:val="37"/>
        </w:rPr>
        <w:t> </w:t>
      </w:r>
      <w:r>
        <w:rPr>
          <w:color w:val="6E6158"/>
        </w:rPr>
        <w:t>Armenian</w:t>
      </w:r>
      <w:r>
        <w:rPr>
          <w:color w:val="6E6158"/>
          <w:spacing w:val="37"/>
        </w:rPr>
        <w:t> </w:t>
      </w:r>
      <w:r>
        <w:rPr>
          <w:color w:val="6E6158"/>
        </w:rPr>
        <w:t>Community</w:t>
      </w:r>
      <w:r>
        <w:rPr>
          <w:color w:val="6E6158"/>
          <w:spacing w:val="37"/>
        </w:rPr>
        <w:t> </w:t>
      </w:r>
      <w:r>
        <w:rPr>
          <w:color w:val="6E6158"/>
        </w:rPr>
        <w:t>School,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CenCal</w:t>
      </w:r>
      <w:r>
        <w:rPr>
          <w:color w:val="6E6158"/>
          <w:spacing w:val="37"/>
        </w:rPr>
        <w:t> </w:t>
      </w:r>
      <w:r>
        <w:rPr>
          <w:color w:val="6E6158"/>
        </w:rPr>
        <w:t>Youth</w:t>
      </w:r>
      <w:r>
        <w:rPr>
          <w:color w:val="6E6158"/>
          <w:spacing w:val="37"/>
        </w:rPr>
        <w:t> </w:t>
      </w:r>
      <w:r>
        <w:rPr>
          <w:color w:val="6E6158"/>
        </w:rPr>
        <w:t>Sports</w:t>
      </w:r>
      <w:r>
        <w:rPr>
          <w:color w:val="6E6158"/>
          <w:spacing w:val="37"/>
        </w:rPr>
        <w:t> </w:t>
      </w:r>
      <w:r>
        <w:rPr>
          <w:color w:val="6E6158"/>
        </w:rPr>
        <w:t>(Chair).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157687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6308pt;width:1.65pt;height:1.65pt;mso-position-horizontal-relative:page;mso-position-vertical-relative:paragraph;z-index:15729152" id="docshape11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2"/>
        </w:rPr>
        <w:t> </w:t>
      </w:r>
      <w:r>
        <w:rPr>
          <w:color w:val="6E6158"/>
        </w:rPr>
        <w:t>Gate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175416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2346pt;width:1.65pt;height:1.65pt;mso-position-horizontal-relative:page;mso-position-vertical-relative:paragraph;z-index:15729664" id="docshape12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M.B.A.,</w:t>
      </w:r>
      <w:r>
        <w:rPr>
          <w:color w:val="6E6158"/>
          <w:spacing w:val="12"/>
        </w:rPr>
        <w:t> </w:t>
      </w:r>
      <w:r>
        <w:rPr>
          <w:color w:val="6E6158"/>
        </w:rPr>
        <w:t>Golden</w:t>
      </w:r>
      <w:r>
        <w:rPr>
          <w:color w:val="6E6158"/>
          <w:spacing w:val="13"/>
        </w:rPr>
        <w:t> </w:t>
      </w:r>
      <w:r>
        <w:rPr>
          <w:color w:val="6E6158"/>
        </w:rPr>
        <w:t>Gate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Ageno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line="427" w:lineRule="auto" w:before="174"/>
        <w:ind w:right="1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175366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8385pt;width:1.65pt;height:1.65pt;mso-position-horizontal-relative:page;mso-position-vertical-relative:paragraph;z-index:15730176" id="docshape13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433732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52153pt;width:1.65pt;height:1.65pt;mso-position-horizontal-relative:page;mso-position-vertical-relative:paragraph;z-index:15730688" id="docshape14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 Political Economy of Natural Resources, University of California, </w:t>
      </w:r>
      <w:r>
        <w:rPr>
          <w:color w:val="6E6158"/>
        </w:rPr>
        <w:t>Berkeley</w:t>
      </w:r>
      <w:r>
        <w:rPr>
          <w:color w:val="6E6158"/>
        </w:rPr>
        <w:t> B.A., History, University of California, Berkeley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88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64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59400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77222pt;width:1.65pt;height:1.65pt;mso-position-horizontal-relative:page;mso-position-vertical-relative:paragraph;z-index:15731200" id="docshape15" coordorigin="1675,94" coordsize="33,33" path="m1696,126l1687,126,1683,125,1676,118,1675,114,1675,105,1676,101,1683,95,1687,94,1696,94,1699,95,1706,101,1707,105,1707,110,1707,114,1706,118,1699,125,1696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322933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27847pt;width:1.65pt;height:1.65pt;mso-position-horizontal-relative:page;mso-position-vertical-relative:paragraph;z-index:15731712" id="docshape16" coordorigin="1675,509" coordsize="33,33" path="m1696,541l1687,541,1683,540,1676,533,1675,529,1675,520,1676,517,1683,510,1687,509,1696,509,1699,510,1706,517,1707,520,1707,525,1707,529,1706,533,1699,540,1696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</w:t>
      </w:r>
      <w:r>
        <w:rPr>
          <w:color w:val="6E6158"/>
        </w:rPr>
        <w:t>Transactions </w:t>
      </w:r>
      <w:r>
        <w:rPr>
          <w:color w:val="6E6158"/>
          <w:spacing w:val="-2"/>
        </w:rPr>
        <w:t>Privacy</w:t>
      </w:r>
    </w:p>
    <w:p>
      <w:pPr>
        <w:pStyle w:val="BodyText"/>
        <w:spacing w:line="422" w:lineRule="auto"/>
        <w:ind w:right="72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63558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4629pt;width:1.65pt;height:1.65pt;mso-position-horizontal-relative:page;mso-position-vertical-relative:paragraph;z-index:15732224" id="docshape17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321924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48377pt;width:1.65pt;height:1.65pt;mso-position-horizontal-relative:page;mso-position-vertical-relative:paragraph;z-index:15732736" id="docshape18" coordorigin="1675,507" coordsize="33,33" path="m1696,540l1687,540,1683,538,1676,532,1675,528,1675,519,1676,515,1683,509,1687,507,1696,507,1699,509,1706,515,1707,519,1707,523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580290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692127pt;width:1.65pt;height:1.65pt;mso-position-horizontal-relative:page;mso-position-vertical-relative:paragraph;z-index:15733248" id="docshape19" coordorigin="1675,914" coordsize="33,33" path="m1696,946l1687,946,1683,945,1676,938,1675,935,1675,926,1676,922,1683,915,1687,914,1696,914,1699,915,1706,922,1707,926,1707,930,1707,935,1706,938,1699,945,1696,9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Property </w:t>
      </w:r>
      <w:r>
        <w:rPr>
          <w:color w:val="6E6158"/>
          <w:spacing w:val="-2"/>
        </w:rPr>
        <w:t>Technology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420" w:lineRule="auto"/>
        <w:ind w:right="64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62774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42867pt;width:1.65pt;height:1.65pt;mso-position-horizontal-relative:page;mso-position-vertical-relative:paragraph;z-index:15733760" id="docshape20" coordorigin="1675,99" coordsize="33,33" path="m1696,131l1687,131,1683,130,1676,123,1675,120,1675,111,1676,107,1683,100,1687,99,1696,99,1699,100,1706,107,1707,111,1707,115,1707,120,1706,123,1699,130,1696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321140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86617pt;width:1.65pt;height:1.65pt;mso-position-horizontal-relative:page;mso-position-vertical-relative:paragraph;z-index:15734272" id="docshape21" coordorigin="1675,506" coordsize="33,33" path="m1696,538l1687,538,1683,537,1676,530,1675,527,1675,518,1676,514,1683,507,1687,506,1696,506,1699,507,1706,514,1707,518,1707,522,1707,527,1706,530,1699,537,1696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Health Care</w:t>
      </w:r>
    </w:p>
    <w:p>
      <w:pPr>
        <w:pStyle w:val="BodyText"/>
        <w:spacing w:line="420" w:lineRule="auto" w:before="4"/>
        <w:ind w:right="64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61765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863398pt;width:1.65pt;height:1.65pt;mso-position-horizontal-relative:page;mso-position-vertical-relative:paragraph;z-index:15734784" id="docshape22" coordorigin="1675,97" coordsize="33,33" path="m1696,130l1687,130,1683,128,1676,122,1675,118,1675,109,1676,105,1683,99,1687,97,1696,97,1699,99,1706,105,1707,109,1707,114,1707,118,1706,122,1699,128,1696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320130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07148pt;width:1.65pt;height:1.65pt;mso-position-horizontal-relative:page;mso-position-vertical-relative:paragraph;z-index:15735296" id="docshape23" coordorigin="1675,504" coordsize="33,33" path="m1696,537l1687,537,1683,535,1676,529,1675,525,1675,516,1676,512,1683,506,1687,504,1696,504,1699,506,1706,512,1707,516,1707,520,1707,525,1706,529,1699,535,1696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583663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957771pt;width:1.65pt;height:1.65pt;mso-position-horizontal-relative:page;mso-position-vertical-relative:paragraph;z-index:15735808" id="docshape24" coordorigin="1675,919" coordsize="33,33" path="m1696,952l1687,952,1683,950,1676,944,1675,940,1675,931,1676,927,1683,921,1687,919,1696,919,1699,921,1706,927,1707,931,1707,935,1707,940,1706,944,1699,950,1696,9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Privacy &amp; Data </w:t>
      </w:r>
      <w:r>
        <w:rPr>
          <w:color w:val="6E6158"/>
        </w:rPr>
        <w:t>Security Mergers &amp; Acquisitions Apparel &amp; Fashion</w:t>
      </w:r>
    </w:p>
    <w:p>
      <w:pPr>
        <w:pStyle w:val="Heading2"/>
        <w:spacing w:before="158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158075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6928pt;width:1.65pt;height:1.65pt;mso-position-horizontal-relative:page;mso-position-vertical-relative:paragraph;z-index:15736320" id="docshape25" coordorigin="1675,249" coordsize="33,33" path="m1696,281l1687,281,1683,280,1676,274,1675,270,1675,261,1676,257,1683,251,1687,249,1696,249,1699,251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Co-Editor,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4"/>
        </w:rPr>
        <w:t> </w:t>
      </w:r>
      <w:r>
        <w:rPr>
          <w:color w:val="6E6158"/>
        </w:rPr>
        <w:t>Privacy</w:t>
      </w:r>
      <w:r>
        <w:rPr>
          <w:color w:val="6E6158"/>
          <w:spacing w:val="14"/>
        </w:rPr>
        <w:t> </w:t>
      </w:r>
      <w:r>
        <w:rPr>
          <w:color w:val="6E6158"/>
        </w:rPr>
        <w:t>Section</w:t>
      </w:r>
      <w:r>
        <w:rPr>
          <w:color w:val="6E6158"/>
          <w:spacing w:val="14"/>
        </w:rPr>
        <w:t> </w:t>
      </w:r>
      <w:r>
        <w:rPr>
          <w:color w:val="6E6158"/>
        </w:rPr>
        <w:t>Journal,</w:t>
      </w:r>
      <w:r>
        <w:rPr>
          <w:color w:val="6E6158"/>
          <w:spacing w:val="14"/>
        </w:rPr>
        <w:t> </w:t>
      </w:r>
      <w:r>
        <w:rPr>
          <w:color w:val="6E6158"/>
        </w:rPr>
        <w:t>2024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right="3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268182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6722pt;width:1.65pt;height:1.65pt;mso-position-horizontal-relative:page;mso-position-vertical-relative:paragraph;z-index:15736832" id="docshape26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Privacy and Data Security Trends: Ensuring Compliance in the State of California in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2024</w:t>
        </w:r>
      </w:hyperlink>
      <w:r>
        <w:rPr>
          <w:color w:val="6E6158"/>
        </w:rPr>
        <w:t>,” Fennemore Blog, January 23, 2024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230894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0695pt;width:1.65pt;height:1.65pt;mso-position-horizontal-relative:page;mso-position-vertical-relative:paragraph;z-index:15737344" id="docshape27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Author, “California Attorney General Signals Enforcement of CCPA Regulations on HR Data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Following Temporary Exemption’s End,” Fennemore Blog, July 27, 2023</w:t>
        </w:r>
      </w:hyperlink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236239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1536pt;width:1.65pt;height:1.65pt;mso-position-horizontal-relative:page;mso-position-vertical-relative:paragraph;z-index:15737856" id="docshape28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Author, “California Attorney General Signals Enforcement of CCPA Regulations on HR Data,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Following Temporary Exemption’s End,” Fennemore Client Alert, July 27, 2023</w:t>
        </w:r>
      </w:hyperlink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142857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8647pt;width:1.65pt;height:1.65pt;mso-position-horizontal-relative:page;mso-position-vertical-relative:paragraph;z-index:15738368" id="docshape29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“Privacy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Fennemore</w:t>
      </w:r>
      <w:r>
        <w:rPr>
          <w:color w:val="6E6158"/>
          <w:spacing w:val="10"/>
        </w:rPr>
        <w:t> </w:t>
      </w:r>
      <w:r>
        <w:rPr>
          <w:color w:val="6E6158"/>
        </w:rPr>
        <w:t>Lawyers:</w:t>
      </w:r>
      <w:r>
        <w:rPr>
          <w:color w:val="6E6158"/>
          <w:spacing w:val="10"/>
        </w:rPr>
        <w:t> </w:t>
      </w:r>
      <w:r>
        <w:rPr>
          <w:color w:val="6E6158"/>
        </w:rPr>
        <w:t>What</w:t>
      </w:r>
      <w:r>
        <w:rPr>
          <w:color w:val="6E6158"/>
          <w:spacing w:val="10"/>
        </w:rPr>
        <w:t> </w:t>
      </w:r>
      <w:r>
        <w:rPr>
          <w:color w:val="6E6158"/>
        </w:rPr>
        <w:t>you</w:t>
      </w:r>
      <w:r>
        <w:rPr>
          <w:color w:val="6E6158"/>
          <w:spacing w:val="10"/>
        </w:rPr>
        <w:t> </w:t>
      </w:r>
      <w:r>
        <w:rPr>
          <w:color w:val="6E6158"/>
        </w:rPr>
        <w:t>need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know,”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</w:rPr>
        <w:t>19,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  <w:ind w:right="3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268204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8429pt;width:1.65pt;height:1.65pt;mso-position-horizontal-relative:page;mso-position-vertical-relative:paragraph;z-index:15738880" id="docshape30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Interview, “A Conversation With Attorney Rob Tookoian On Lessons Learned and Life In </w:t>
        </w:r>
        <w:r>
          <w:rPr>
            <w:color w:val="F5821F"/>
          </w:rPr>
          <w:t>The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Legal Profession,” Fennemore Blog, March 24, 2022</w:t>
        </w:r>
      </w:hyperlink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143072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5539pt;width:1.65pt;height:1.65pt;mso-position-horizontal-relative:page;mso-position-vertical-relative:paragraph;z-index:15739392" id="docshape31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76"/>
        </w:rPr>
        <w:t> </w:t>
      </w:r>
      <w:r>
        <w:rPr>
          <w:color w:val="6E6158"/>
        </w:rPr>
        <w:t>“Understanding</w:t>
      </w:r>
      <w:r>
        <w:rPr>
          <w:color w:val="6E6158"/>
          <w:spacing w:val="11"/>
        </w:rPr>
        <w:t> </w:t>
      </w:r>
      <w:r>
        <w:rPr>
          <w:color w:val="6E6158"/>
        </w:rPr>
        <w:t>Data,</w:t>
      </w:r>
      <w:r>
        <w:rPr>
          <w:color w:val="6E6158"/>
          <w:spacing w:val="12"/>
        </w:rPr>
        <w:t> </w:t>
      </w:r>
      <w:r>
        <w:rPr>
          <w:color w:val="6E6158"/>
        </w:rPr>
        <w:t>Decision</w:t>
      </w:r>
      <w:r>
        <w:rPr>
          <w:color w:val="6E6158"/>
          <w:spacing w:val="11"/>
        </w:rPr>
        <w:t> </w:t>
      </w:r>
      <w:r>
        <w:rPr>
          <w:color w:val="6E6158"/>
        </w:rPr>
        <w:t>making,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Design,”</w:t>
      </w:r>
      <w:r>
        <w:rPr>
          <w:color w:val="6E6158"/>
          <w:spacing w:val="12"/>
        </w:rPr>
        <w:t> </w:t>
      </w:r>
      <w:r>
        <w:rPr>
          <w:color w:val="6E6158"/>
        </w:rPr>
        <w:t>CPRA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+</w:t>
      </w:r>
      <w:r>
        <w:rPr>
          <w:color w:val="6E6158"/>
          <w:spacing w:val="11"/>
        </w:rPr>
        <w:t> </w:t>
      </w:r>
      <w:r>
        <w:rPr>
          <w:color w:val="6E6158"/>
        </w:rPr>
        <w:t>Tech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Series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268418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35321pt;width:1.65pt;height:1.65pt;mso-position-horizontal-relative:page;mso-position-vertical-relative:paragraph;z-index:15739904" id="docshape32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“Pharma Group Sues Government to Keep Drug Prices Secret,” Verywell </w:t>
      </w:r>
      <w:r>
        <w:rPr>
          <w:color w:val="6E6158"/>
        </w:rPr>
        <w:t>Health, October 20, 2021</w:t>
      </w:r>
    </w:p>
    <w:p>
      <w:pPr>
        <w:pStyle w:val="BodyText"/>
        <w:spacing w:line="292" w:lineRule="auto" w:before="113"/>
        <w:ind w:right="3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224377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7486pt;width:1.65pt;height:1.65pt;mso-position-horizontal-relative:page;mso-position-vertical-relative:paragraph;z-index:15740416" id="docshape33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Author, “Providers Beware: The Office For Civil Rights is Making an Example of Providers That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Fail to Deliver Patient Records,” Fennemore Client Alert, February 2, 2021</w:t>
        </w:r>
      </w:hyperlink>
    </w:p>
    <w:p>
      <w:pPr>
        <w:pStyle w:val="BodyText"/>
        <w:spacing w:line="302" w:lineRule="auto" w:before="123"/>
        <w:ind w:right="3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236071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8341pt;width:1.65pt;height:1.65pt;mso-position-horizontal-relative:page;mso-position-vertical-relative:paragraph;z-index:15740928" id="docshape34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Author, “SCOTUS Brings the Hammer Down on Pharmacy Benefit Managers,”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Client Alert, December 17, 2020</w:t>
        </w:r>
      </w:hyperlink>
    </w:p>
    <w:p>
      <w:pPr>
        <w:pStyle w:val="BodyText"/>
        <w:spacing w:line="420" w:lineRule="auto" w:before="113"/>
        <w:ind w:right="1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136570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53611pt;width:1.65pt;height:1.65pt;mso-position-horizontal-relative:page;mso-position-vertical-relative:paragraph;z-index:15741440" id="docshape35" coordorigin="1675,215" coordsize="33,33" path="m1696,248l1687,248,1683,246,1676,240,1675,236,1675,227,1676,223,1683,217,1687,215,1696,215,1699,217,1706,223,1707,227,1707,231,1707,236,1706,240,1699,246,1696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394936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97355pt;width:1.65pt;height:1.65pt;mso-position-horizontal-relative:page;mso-position-vertical-relative:paragraph;z-index:15741952" id="docshape36" coordorigin="1675,622" coordsize="33,33" path="m1696,654l1687,654,1683,653,1676,647,1675,643,1675,634,1676,630,1683,624,1687,622,1696,622,1699,624,1706,630,1707,634,1707,638,1707,643,1706,647,1699,653,169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“California Consumer Privacy Act’s Application to </w:t>
      </w:r>
      <w:r>
        <w:rPr>
          <w:color w:val="6E6158"/>
        </w:rPr>
        <w:t>Employers” Presenter, “Handling Contract Performance Issues During COVID”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63806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4154pt;width:1.65pt;height:1.65pt;mso-position-horizontal-relative:page;mso-position-vertical-relative:paragraph;z-index:15742464" id="docshape37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“Coronavirus</w:t>
      </w:r>
      <w:r>
        <w:rPr>
          <w:color w:val="6E6158"/>
          <w:spacing w:val="11"/>
        </w:rPr>
        <w:t> </w:t>
      </w:r>
      <w:r>
        <w:rPr>
          <w:color w:val="6E6158"/>
        </w:rPr>
        <w:t>Aid</w:t>
      </w:r>
      <w:r>
        <w:rPr>
          <w:color w:val="6E6158"/>
          <w:spacing w:val="11"/>
        </w:rPr>
        <w:t> </w:t>
      </w:r>
      <w:r>
        <w:rPr>
          <w:color w:val="6E6158"/>
        </w:rPr>
        <w:t>Relief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Economic</w:t>
      </w:r>
      <w:r>
        <w:rPr>
          <w:color w:val="6E6158"/>
          <w:spacing w:val="11"/>
        </w:rPr>
        <w:t> </w:t>
      </w:r>
      <w:r>
        <w:rPr>
          <w:color w:val="6E6158"/>
        </w:rPr>
        <w:t>Security</w:t>
      </w:r>
      <w:r>
        <w:rPr>
          <w:color w:val="6E6158"/>
          <w:spacing w:val="11"/>
        </w:rPr>
        <w:t> </w:t>
      </w:r>
      <w:r>
        <w:rPr>
          <w:color w:val="6E6158"/>
        </w:rPr>
        <w:t>CARES</w:t>
      </w:r>
      <w:r>
        <w:rPr>
          <w:color w:val="6E6158"/>
          <w:spacing w:val="11"/>
        </w:rPr>
        <w:t> </w:t>
      </w:r>
      <w:r>
        <w:rPr>
          <w:color w:val="6E6158"/>
        </w:rPr>
        <w:t>Act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Overview”</w:t>
      </w:r>
    </w:p>
    <w:p>
      <w:pPr>
        <w:pStyle w:val="BodyText"/>
        <w:spacing w:line="420" w:lineRule="auto" w:before="182"/>
        <w:ind w:right="3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175255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966pt;width:1.65pt;height:1.65pt;mso-position-horizontal-relative:page;mso-position-vertical-relative:paragraph;z-index:15742976" id="docshape38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438788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550274pt;width:1.65pt;height:1.65pt;mso-position-horizontal-relative:page;mso-position-vertical-relative:paragraph;z-index:15743488" id="docshape39" coordorigin="1675,691" coordsize="33,33" path="m1696,724l1687,724,1683,722,1676,716,1675,712,1675,703,1676,699,1683,693,1687,691,1696,691,1699,693,1706,699,1707,703,1707,707,1707,712,1706,716,1699,722,1696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 Brief Overview of the Paycheck Protection Program, a 100% Forgivable Loan” Author, “Franchises, Hotels and Restaurants, Oh My: PPP Progress”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63843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705pt;width:1.65pt;height:1.65pt;mso-position-horizontal-relative:page;mso-position-vertical-relative:paragraph;z-index:15744000" id="docshape40" coordorigin="1675,101" coordsize="33,33" path="m1696,133l1687,133,1683,132,1676,125,1675,121,1675,112,1676,108,1683,102,1687,101,1696,101,1699,102,1706,108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“SBA</w:t>
      </w:r>
      <w:r>
        <w:rPr>
          <w:color w:val="6E6158"/>
          <w:spacing w:val="8"/>
        </w:rPr>
        <w:t> </w:t>
      </w:r>
      <w:r>
        <w:rPr>
          <w:color w:val="6E6158"/>
        </w:rPr>
        <w:t>Warns</w:t>
      </w:r>
      <w:r>
        <w:rPr>
          <w:color w:val="6E6158"/>
          <w:spacing w:val="9"/>
        </w:rPr>
        <w:t> </w:t>
      </w:r>
      <w:r>
        <w:rPr>
          <w:color w:val="6E6158"/>
        </w:rPr>
        <w:t>Borrowers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Double</w:t>
      </w:r>
      <w:r>
        <w:rPr>
          <w:color w:val="6E6158"/>
          <w:spacing w:val="9"/>
        </w:rPr>
        <w:t> </w:t>
      </w:r>
      <w:r>
        <w:rPr>
          <w:color w:val="6E6158"/>
        </w:rPr>
        <w:t>Check</w:t>
      </w:r>
      <w:r>
        <w:rPr>
          <w:color w:val="6E6158"/>
          <w:spacing w:val="8"/>
        </w:rPr>
        <w:t> </w:t>
      </w:r>
      <w:r>
        <w:rPr>
          <w:color w:val="6E6158"/>
        </w:rPr>
        <w:t>That</w:t>
      </w:r>
      <w:r>
        <w:rPr>
          <w:color w:val="6E6158"/>
          <w:spacing w:val="9"/>
        </w:rPr>
        <w:t> </w:t>
      </w:r>
      <w:r>
        <w:rPr>
          <w:color w:val="6E6158"/>
        </w:rPr>
        <w:t>They</w:t>
      </w:r>
      <w:r>
        <w:rPr>
          <w:color w:val="6E6158"/>
          <w:spacing w:val="8"/>
        </w:rPr>
        <w:t> </w:t>
      </w:r>
      <w:r>
        <w:rPr>
          <w:color w:val="6E6158"/>
        </w:rPr>
        <w:t>Qualify</w:t>
      </w:r>
      <w:r>
        <w:rPr>
          <w:color w:val="6E6158"/>
          <w:spacing w:val="8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PPP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Loan”</w:t>
      </w:r>
    </w:p>
    <w:p>
      <w:pPr>
        <w:pStyle w:val="BodyText"/>
        <w:spacing w:after="0" w:line="231" w:lineRule="exact"/>
        <w:sectPr>
          <w:pgSz w:w="12240" w:h="15840"/>
          <w:pgMar w:top="580" w:bottom="280" w:left="1440" w:right="1440"/>
        </w:sectPr>
      </w:pPr>
    </w:p>
    <w:p>
      <w:pPr>
        <w:pStyle w:val="BodyText"/>
        <w:spacing w:line="420" w:lineRule="auto" w:before="88"/>
        <w:ind w:right="3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959pt;width:1.65pt;height:1.65pt;mso-position-horizontal-relative:page;mso-position-vertical-relative:paragraph;z-index:15744512" id="docshape41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08pt;width:1.65pt;height:1.65pt;mso-position-horizontal-relative:page;mso-position-vertical-relative:paragraph;z-index:15745024" id="docshape42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“SBA Clarifies Effect of Laid-off Employees in Calculating PPP Loan Forgiveness” Author, “SBA Provides Safe Harbor Guidance for Some PPP Loan Recipients”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63887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0489pt;width:1.65pt;height:1.65pt;mso-position-horizontal-relative:page;mso-position-vertical-relative:paragraph;z-index:15745536" id="docshape43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“SBA</w:t>
      </w:r>
      <w:r>
        <w:rPr>
          <w:color w:val="6E6158"/>
          <w:spacing w:val="11"/>
        </w:rPr>
        <w:t> </w:t>
      </w:r>
      <w:r>
        <w:rPr>
          <w:color w:val="6E6158"/>
        </w:rPr>
        <w:t>Publishes</w:t>
      </w:r>
      <w:r>
        <w:rPr>
          <w:color w:val="6E6158"/>
          <w:spacing w:val="12"/>
        </w:rPr>
        <w:t> </w:t>
      </w:r>
      <w:r>
        <w:rPr>
          <w:color w:val="6E6158"/>
        </w:rPr>
        <w:t>PPP</w:t>
      </w:r>
      <w:r>
        <w:rPr>
          <w:color w:val="6E6158"/>
          <w:spacing w:val="11"/>
        </w:rPr>
        <w:t> </w:t>
      </w:r>
      <w:r>
        <w:rPr>
          <w:color w:val="6E6158"/>
        </w:rPr>
        <w:t>Loan</w:t>
      </w:r>
      <w:r>
        <w:rPr>
          <w:color w:val="6E6158"/>
          <w:spacing w:val="12"/>
        </w:rPr>
        <w:t> </w:t>
      </w:r>
      <w:r>
        <w:rPr>
          <w:color w:val="6E6158"/>
        </w:rPr>
        <w:t>Forgiveness</w:t>
      </w:r>
      <w:r>
        <w:rPr>
          <w:color w:val="6E6158"/>
          <w:spacing w:val="11"/>
        </w:rPr>
        <w:t> </w:t>
      </w:r>
      <w:r>
        <w:rPr>
          <w:color w:val="6E6158"/>
        </w:rPr>
        <w:t>Application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Some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Clarifications”</w:t>
      </w:r>
    </w:p>
    <w:p>
      <w:pPr>
        <w:pStyle w:val="Heading2"/>
        <w:spacing w:before="21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3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157812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6143pt;width:1.65pt;height:1.65pt;mso-position-horizontal-relative:page;mso-position-vertical-relative:paragraph;z-index:15746048" id="docshape44" coordorigin="1675,249" coordsize="33,33" path="m1696,281l1687,281,1683,279,1676,273,1675,269,1675,260,1676,256,1683,250,1687,249,1696,249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416177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9890pt;width:1.65pt;height:1.65pt;mso-position-horizontal-relative:page;mso-position-vertical-relative:paragraph;z-index:15746560" id="docshape45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International Association of Privacy </w:t>
      </w:r>
      <w:r>
        <w:rPr>
          <w:color w:val="6E6158"/>
        </w:rPr>
        <w:t>Professionals Member, Fresno County Bar Association</w:t>
      </w:r>
    </w:p>
    <w:p>
      <w:pPr>
        <w:pStyle w:val="BodyText"/>
        <w:spacing w:line="427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63457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6673pt;width:1.65pt;height:1.65pt;mso-position-horizontal-relative:page;mso-position-vertical-relative:paragraph;z-index:15747072" id="docshape46" coordorigin="1675,100" coordsize="33,33" path="m1696,132l1687,132,1683,131,1676,125,1675,121,1675,112,1676,108,1683,102,1687,100,1696,100,1699,102,1706,108,1707,112,1707,116,1707,121,1706,125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321823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40422pt;width:1.65pt;height:1.65pt;mso-position-horizontal-relative:page;mso-position-vertical-relative:paragraph;z-index:15747584" id="docshape47" coordorigin="1675,507" coordsize="33,33" path="m1696,539l1687,539,1683,538,1676,531,1675,528,1675,519,1676,515,1683,508,1687,507,1696,507,1699,508,1706,515,1707,519,1707,523,1707,528,1706,531,1699,538,1696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Executive Committee, Privacy Law Section of the California Lawyers </w:t>
      </w:r>
      <w:r>
        <w:rPr>
          <w:color w:val="6E6158"/>
        </w:rPr>
        <w:t>Association Member, State Bar of California</w:t>
      </w:r>
    </w:p>
    <w:p>
      <w:pPr>
        <w:pStyle w:val="BodyText"/>
        <w:spacing w:line="420" w:lineRule="auto"/>
        <w:ind w:right="3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58740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25216pt;width:1.65pt;height:1.65pt;mso-position-horizontal-relative:page;mso-position-vertical-relative:paragraph;z-index:15748096" id="docshape48" coordorigin="1675,93" coordsize="33,33" path="m1696,125l1687,125,1683,123,1676,117,1675,113,1675,104,1676,100,1683,94,1687,93,1696,93,1699,94,1706,100,1707,104,1707,109,1707,113,1706,117,1699,123,1696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317105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68966pt;width:1.65pt;height:1.65pt;mso-position-horizontal-relative:page;mso-position-vertical-relative:paragraph;z-index:15748608" id="docshape49" coordorigin="1675,499" coordsize="33,33" path="m1696,532l1687,532,1683,530,1676,524,1675,520,1675,511,1676,507,1683,501,1687,499,1696,499,1699,501,1706,507,1707,511,1707,516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California Society for Healthcare </w:t>
      </w:r>
      <w:r>
        <w:rPr>
          <w:color w:val="6E6158"/>
        </w:rPr>
        <w:t>Attorneys Member, American Health Law Association</w:t>
      </w:r>
    </w:p>
    <w:p>
      <w:pPr>
        <w:pStyle w:val="BodyText"/>
        <w:spacing w:line="427" w:lineRule="auto"/>
        <w:ind w:right="40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57730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545746pt;width:1.65pt;height:1.65pt;mso-position-horizontal-relative:page;mso-position-vertical-relative:paragraph;z-index:15749120" id="docshape50" coordorigin="1675,91" coordsize="33,33" path="m1696,123l1687,123,1683,122,1676,116,1675,112,1675,103,1676,99,1683,93,1687,91,1696,91,1699,93,1706,99,1707,103,1707,107,1707,112,1706,116,1699,122,1696,1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316096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889496pt;width:1.65pt;height:1.65pt;mso-position-horizontal-relative:page;mso-position-vertical-relative:paragraph;z-index:15749632" id="docshape51" coordorigin="1675,498" coordsize="33,33" path="m1696,530l1687,530,1683,529,1676,522,1675,519,1675,510,1676,506,1683,499,1687,498,1696,498,1699,499,1706,506,1707,510,1707,514,1707,519,1706,522,1699,529,1696,5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Cal Alumni of Central </w:t>
      </w:r>
      <w:r>
        <w:rPr>
          <w:color w:val="6E6158"/>
        </w:rPr>
        <w:t>California Board Member, CenCal Youth Sports</w:t>
      </w:r>
    </w:p>
    <w:p>
      <w:pPr>
        <w:pStyle w:val="Heading2"/>
        <w:spacing w:before="143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157735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0148pt;width:1.65pt;height:1.65pt;mso-position-horizontal-relative:page;mso-position-vertical-relative:paragraph;z-index:15750144" id="docshape52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174830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6191pt;width:1.65pt;height:1.65pt;mso-position-horizontal-relative:page;mso-position-vertical-relative:paragraph;z-index:15750656" id="docshape53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175415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2237pt;width:1.65pt;height:1.65pt;mso-position-horizontal-relative:page;mso-position-vertical-relative:paragraph;z-index:15751168" id="docshape54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175452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5156pt;width:1.65pt;height:1.65pt;mso-position-horizontal-relative:page;mso-position-vertical-relative:paragraph;z-index:15751680" id="docshape55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rtookoian@fennemorelaw.com" TargetMode="External"/><Relationship Id="rId11" Type="http://schemas.openxmlformats.org/officeDocument/2006/relationships/hyperlink" Target="https://www.fennemorelaw.com/privacy-and-data-security-trends-ensuring-compliance-in-the-state-of-california-in-2024/" TargetMode="External"/><Relationship Id="rId12" Type="http://schemas.openxmlformats.org/officeDocument/2006/relationships/hyperlink" Target="https://mailchi.mp/fennemorelaw/power-of-attorney-irs-filling-change?e=6383ff8993" TargetMode="External"/><Relationship Id="rId13" Type="http://schemas.openxmlformats.org/officeDocument/2006/relationships/hyperlink" Target="https://www.fennemorelaw.com/staying-focused-on-the-things-in-life-that-really-matter-family-community-and-personal-integrity/" TargetMode="External"/><Relationship Id="rId14" Type="http://schemas.openxmlformats.org/officeDocument/2006/relationships/hyperlink" Target="https://www.fennemorelaw.com/insights/newsletters/2021/providers-beware-the-office-for-civil-rights-is-making-an-example-of-providers-that-fail-to-deliver-patient-records" TargetMode="External"/><Relationship Id="rId15" Type="http://schemas.openxmlformats.org/officeDocument/2006/relationships/hyperlink" Target="https://www.fennemorelaw.com/insights/newsletters/2020/scotus-brings-the-hammer-down-on-pharmacy-benefit-manager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2025-10-21T04:57:32Z</dcterms:created>
  <dcterms:modified xsi:type="dcterms:W3CDTF">2025-10-21T04:57:32Z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