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851661</wp:posOffset>
                </wp:positionH>
                <wp:positionV relativeFrom="page">
                  <wp:posOffset>355599</wp:posOffset>
                </wp:positionV>
                <wp:extent cx="606679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4736465"/>
                          <a:chExt cx="606679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6679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6790" h="1318260">
                                <a:moveTo>
                                  <a:pt x="6066424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66424" y="0"/>
                                </a:lnTo>
                                <a:lnTo>
                                  <a:pt x="6066424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3212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39636" y="763308"/>
                            <a:ext cx="143319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SPENCER A.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SHOCKNESS</w:t>
                              </w:r>
                            </w:p>
                            <w:p>
                              <w:pPr>
                                <w:spacing w:before="48"/>
                                <w:ind w:left="0" w:right="1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78444" y="2133494"/>
                            <a:ext cx="195580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602.916.5312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sshockness@fennemorelaw.com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7345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860797" y="3756030"/>
                            <a:ext cx="236093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optimist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sees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opportunity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every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difficulty.</w:t>
                              </w:r>
                            </w:p>
                            <w:p>
                              <w:pPr>
                                <w:spacing w:before="89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Winston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Churchill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548446"/>
                            <a:ext cx="180149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SPENCER</w:t>
                              </w:r>
                              <w:r>
                                <w:rPr>
                                  <w:b/>
                                  <w:color w:val="FF8100"/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A.</w:t>
                              </w:r>
                              <w:r>
                                <w:rPr>
                                  <w:b/>
                                  <w:color w:val="FF8100"/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pacing w:val="-2"/>
                                  <w:sz w:val="24"/>
                                </w:rPr>
                                <w:t>SHOCKNESS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4851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59998pt;margin-top:27.999998pt;width:477.7pt;height:372.95pt;mso-position-horizontal-relative:page;mso-position-vertical-relative:page;z-index:15728640" id="docshapegroup1" coordorigin="1341,560" coordsize="9554,7459">
                <v:rect style="position:absolute;left:1341;top:5540;width:9554;height:2076" id="docshape2" filled="true" fillcolor="#002e6d" stroked="false">
                  <v:fill type="solid"/>
                </v:rect>
                <v:shape style="position:absolute;left:1341;top:560;width:2165;height:424" type="#_x0000_t75" id="docshape3" href="https://www.fennemorelaw.com/" stroked="false">
                  <v:imagedata r:id="rId5" o:title=""/>
                </v:shape>
                <v:shape style="position:absolute;left:1341;top:983;width:4777;height:4557" type="#_x0000_t75" id="docshape4" stroked="false">
                  <v:imagedata r:id="rId7" o:title=""/>
                </v:shape>
                <v:rect style="position:absolute;left:6117;top:983;width:4777;height:4557" id="docshape5" filled="true" fillcolor="#262424" stroked="false">
                  <v:fill type="solid"/>
                </v:rect>
                <v:shape style="position:absolute;left:6842;top:3147;width:3337;height:505" id="docshape6" coordorigin="6842,3148" coordsize="3337,505" path="m10179,3644l6842,3644,6842,3652,10179,3652,10179,3644xm10179,3148l6842,3148,6842,3156,10179,3156,10179,314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87;top:1762;width:2257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SPENCER A.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SHOCKNESS</w:t>
                        </w:r>
                      </w:p>
                      <w:p>
                        <w:pPr>
                          <w:spacing w:before="48"/>
                          <w:ind w:left="0" w:right="1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6;top:3919;width:3080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602.916.5312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602.916.5999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sshockness@fennemorelaw.com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9;top:621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271;top:6475;width:3718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optimist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sees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opportunity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every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difficulty.</w:t>
                        </w:r>
                      </w:p>
                      <w:p>
                        <w:pPr>
                          <w:spacing w:before="89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Winston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Churchill</w:t>
                        </w:r>
                      </w:p>
                    </w:txbxContent>
                  </v:textbox>
                  <w10:wrap type="none"/>
                </v:shape>
                <v:shape style="position:absolute;left:1544;top:7722;width:2837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8100"/>
                            <w:sz w:val="24"/>
                          </w:rPr>
                          <w:t>SPENCER</w:t>
                        </w:r>
                        <w:r>
                          <w:rPr>
                            <w:b/>
                            <w:color w:val="FF8100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z w:val="24"/>
                          </w:rPr>
                          <w:t>A.</w:t>
                        </w:r>
                        <w:r>
                          <w:rPr>
                            <w:b/>
                            <w:color w:val="FF8100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pacing w:val="-2"/>
                            <w:sz w:val="24"/>
                          </w:rPr>
                          <w:t>SHOCKNESS</w:t>
                        </w:r>
                      </w:p>
                    </w:txbxContent>
                  </v:textbox>
                  <w10:wrap type="none"/>
                </v:shape>
                <v:shape style="position:absolute;left:8986;top:6215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6"/>
        <w:rPr>
          <w:rFonts w:ascii="Times New Roman"/>
        </w:rPr>
      </w:pPr>
    </w:p>
    <w:p>
      <w:pPr>
        <w:pStyle w:val="BodyText"/>
        <w:spacing w:line="295" w:lineRule="auto"/>
        <w:ind w:left="104" w:right="207"/>
        <w:jc w:val="both"/>
      </w:pPr>
      <w:r>
        <w:rPr>
          <w:color w:val="6E6158"/>
        </w:rPr>
        <w:t>Spencer Shockness is an associate in our Business Litigation practice group who works out of our Phoenix office. Spencer also serves as the Chair of Fennemore’s Diversity &amp; Inclusion Council. His practice focuses on a broad range of litigation matters – guiding clients through mediation and advantageous</w:t>
      </w:r>
      <w:r>
        <w:rPr>
          <w:color w:val="6E6158"/>
          <w:spacing w:val="16"/>
        </w:rPr>
        <w:t> </w:t>
      </w:r>
      <w:r>
        <w:rPr>
          <w:color w:val="6E6158"/>
        </w:rPr>
        <w:t>settlements,</w:t>
      </w:r>
      <w:r>
        <w:rPr>
          <w:color w:val="6E6158"/>
          <w:spacing w:val="16"/>
        </w:rPr>
        <w:t> </w:t>
      </w:r>
      <w:r>
        <w:rPr>
          <w:color w:val="6E6158"/>
        </w:rPr>
        <w:t>as</w:t>
      </w:r>
      <w:r>
        <w:rPr>
          <w:color w:val="6E6158"/>
          <w:spacing w:val="16"/>
        </w:rPr>
        <w:t> </w:t>
      </w:r>
      <w:r>
        <w:rPr>
          <w:color w:val="6E6158"/>
        </w:rPr>
        <w:t>well</w:t>
      </w:r>
      <w:r>
        <w:rPr>
          <w:color w:val="6E6158"/>
          <w:spacing w:val="16"/>
        </w:rPr>
        <w:t> </w:t>
      </w:r>
      <w:r>
        <w:rPr>
          <w:color w:val="6E6158"/>
        </w:rPr>
        <w:t>as</w:t>
      </w:r>
      <w:r>
        <w:rPr>
          <w:color w:val="6E6158"/>
          <w:spacing w:val="16"/>
        </w:rPr>
        <w:t> </w:t>
      </w:r>
      <w:r>
        <w:rPr>
          <w:color w:val="6E6158"/>
        </w:rPr>
        <w:t>taking</w:t>
      </w:r>
      <w:r>
        <w:rPr>
          <w:color w:val="6E6158"/>
          <w:spacing w:val="16"/>
        </w:rPr>
        <w:t> </w:t>
      </w:r>
      <w:r>
        <w:rPr>
          <w:color w:val="6E6158"/>
        </w:rPr>
        <w:t>matters</w:t>
      </w:r>
      <w:r>
        <w:rPr>
          <w:color w:val="6E6158"/>
          <w:spacing w:val="16"/>
        </w:rPr>
        <w:t> </w:t>
      </w:r>
      <w:r>
        <w:rPr>
          <w:color w:val="6E6158"/>
        </w:rPr>
        <w:t>to</w:t>
      </w:r>
      <w:r>
        <w:rPr>
          <w:color w:val="6E6158"/>
          <w:spacing w:val="16"/>
        </w:rPr>
        <w:t> </w:t>
      </w:r>
      <w:r>
        <w:rPr>
          <w:color w:val="6E6158"/>
        </w:rPr>
        <w:t>trial</w:t>
      </w:r>
      <w:r>
        <w:rPr>
          <w:color w:val="6E6158"/>
          <w:spacing w:val="16"/>
        </w:rPr>
        <w:t> </w:t>
      </w:r>
      <w:r>
        <w:rPr>
          <w:color w:val="6E6158"/>
        </w:rPr>
        <w:t>when</w:t>
      </w:r>
      <w:r>
        <w:rPr>
          <w:color w:val="6E6158"/>
          <w:spacing w:val="16"/>
        </w:rPr>
        <w:t> </w:t>
      </w:r>
      <w:r>
        <w:rPr>
          <w:color w:val="6E6158"/>
        </w:rPr>
        <w:t>necessary.</w:t>
      </w:r>
      <w:r>
        <w:rPr>
          <w:color w:val="6E6158"/>
          <w:spacing w:val="16"/>
        </w:rPr>
        <w:t> </w:t>
      </w:r>
      <w:r>
        <w:rPr>
          <w:color w:val="6E6158"/>
        </w:rPr>
        <w:t>Spencer</w:t>
      </w:r>
      <w:r>
        <w:rPr>
          <w:color w:val="6E6158"/>
          <w:spacing w:val="16"/>
        </w:rPr>
        <w:t> </w:t>
      </w:r>
      <w:r>
        <w:rPr>
          <w:color w:val="6E6158"/>
        </w:rPr>
        <w:t>also</w:t>
      </w:r>
      <w:r>
        <w:rPr>
          <w:color w:val="6E6158"/>
          <w:spacing w:val="16"/>
        </w:rPr>
        <w:t> </w:t>
      </w:r>
      <w:r>
        <w:rPr>
          <w:color w:val="6E6158"/>
        </w:rPr>
        <w:t>takes a great interest in various product liability topics.</w:t>
      </w:r>
    </w:p>
    <w:p>
      <w:pPr>
        <w:pStyle w:val="BodyText"/>
        <w:spacing w:before="203"/>
        <w:ind w:left="104"/>
      </w:pPr>
      <w:r>
        <w:rPr>
          <w:color w:val="6E6158"/>
        </w:rPr>
        <w:t>Prior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joining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firm,</w:t>
      </w:r>
      <w:r>
        <w:rPr>
          <w:color w:val="6E6158"/>
          <w:spacing w:val="11"/>
        </w:rPr>
        <w:t> </w:t>
      </w:r>
      <w:r>
        <w:rPr>
          <w:color w:val="6E6158"/>
        </w:rPr>
        <w:t>Spencer</w:t>
      </w:r>
      <w:r>
        <w:rPr>
          <w:color w:val="6E6158"/>
          <w:spacing w:val="11"/>
        </w:rPr>
        <w:t> </w:t>
      </w:r>
      <w:r>
        <w:rPr>
          <w:color w:val="6E6158"/>
        </w:rPr>
        <w:t>was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summer</w:t>
      </w:r>
      <w:r>
        <w:rPr>
          <w:color w:val="6E6158"/>
          <w:spacing w:val="11"/>
        </w:rPr>
        <w:t> </w:t>
      </w:r>
      <w:r>
        <w:rPr>
          <w:color w:val="6E6158"/>
        </w:rPr>
        <w:t>associate</w:t>
      </w:r>
      <w:r>
        <w:rPr>
          <w:color w:val="6E6158"/>
          <w:spacing w:val="11"/>
        </w:rPr>
        <w:t> </w:t>
      </w:r>
      <w:r>
        <w:rPr>
          <w:color w:val="6E6158"/>
        </w:rPr>
        <w:t>at</w:t>
      </w:r>
      <w:r>
        <w:rPr>
          <w:color w:val="6E6158"/>
          <w:spacing w:val="11"/>
        </w:rPr>
        <w:t> </w:t>
      </w:r>
      <w:r>
        <w:rPr>
          <w:color w:val="6E6158"/>
        </w:rPr>
        <w:t>Fennemore,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he’s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passionate</w:t>
      </w:r>
    </w:p>
    <w:p>
      <w:pPr>
        <w:pStyle w:val="BodyText"/>
        <w:spacing w:line="292" w:lineRule="auto" w:before="52"/>
        <w:ind w:left="104" w:right="223"/>
      </w:pPr>
      <w:r>
        <w:rPr>
          <w:color w:val="6E6158"/>
        </w:rPr>
        <w:t>about resolving complex issues by creating positive solutions. Spencer’s love for products </w:t>
      </w:r>
      <w:r>
        <w:rPr>
          <w:color w:val="6E6158"/>
        </w:rPr>
        <w:t>liability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law</w:t>
      </w:r>
      <w:r>
        <w:rPr>
          <w:color w:val="6E6158"/>
          <w:spacing w:val="27"/>
        </w:rPr>
        <w:t> </w:t>
      </w:r>
      <w:r>
        <w:rPr>
          <w:color w:val="6E6158"/>
        </w:rPr>
        <w:t>generally</w:t>
      </w:r>
      <w:r>
        <w:rPr>
          <w:color w:val="6E6158"/>
          <w:spacing w:val="27"/>
        </w:rPr>
        <w:t> </w:t>
      </w:r>
      <w:r>
        <w:rPr>
          <w:color w:val="6E6158"/>
        </w:rPr>
        <w:t>arose</w:t>
      </w:r>
      <w:r>
        <w:rPr>
          <w:color w:val="6E6158"/>
          <w:spacing w:val="27"/>
        </w:rPr>
        <w:t> </w:t>
      </w:r>
      <w:r>
        <w:rPr>
          <w:color w:val="6E6158"/>
        </w:rPr>
        <w:t>during</w:t>
      </w:r>
      <w:r>
        <w:rPr>
          <w:color w:val="6E6158"/>
          <w:spacing w:val="27"/>
        </w:rPr>
        <w:t> </w:t>
      </w:r>
      <w:r>
        <w:rPr>
          <w:color w:val="6E6158"/>
        </w:rPr>
        <w:t>his</w:t>
      </w:r>
      <w:r>
        <w:rPr>
          <w:color w:val="6E6158"/>
          <w:spacing w:val="27"/>
        </w:rPr>
        <w:t> </w:t>
      </w:r>
      <w:r>
        <w:rPr>
          <w:color w:val="6E6158"/>
        </w:rPr>
        <w:t>time</w:t>
      </w:r>
      <w:r>
        <w:rPr>
          <w:color w:val="6E6158"/>
          <w:spacing w:val="27"/>
        </w:rPr>
        <w:t> </w:t>
      </w:r>
      <w:r>
        <w:rPr>
          <w:color w:val="6E6158"/>
        </w:rPr>
        <w:t>as</w:t>
      </w:r>
      <w:r>
        <w:rPr>
          <w:color w:val="6E6158"/>
          <w:spacing w:val="27"/>
        </w:rPr>
        <w:t> </w:t>
      </w:r>
      <w:r>
        <w:rPr>
          <w:color w:val="6E6158"/>
        </w:rPr>
        <w:t>an</w:t>
      </w:r>
      <w:r>
        <w:rPr>
          <w:color w:val="6E6158"/>
          <w:spacing w:val="27"/>
        </w:rPr>
        <w:t> </w:t>
      </w:r>
      <w:r>
        <w:rPr>
          <w:color w:val="6E6158"/>
        </w:rPr>
        <w:t>undergraduate</w:t>
      </w:r>
      <w:r>
        <w:rPr>
          <w:color w:val="6E6158"/>
          <w:spacing w:val="27"/>
        </w:rPr>
        <w:t> </w:t>
      </w:r>
      <w:r>
        <w:rPr>
          <w:color w:val="6E6158"/>
        </w:rPr>
        <w:t>student</w:t>
      </w:r>
      <w:r>
        <w:rPr>
          <w:color w:val="6E6158"/>
          <w:spacing w:val="27"/>
        </w:rPr>
        <w:t> </w:t>
      </w:r>
      <w:r>
        <w:rPr>
          <w:color w:val="6E6158"/>
        </w:rPr>
        <w:t>at</w:t>
      </w:r>
      <w:r>
        <w:rPr>
          <w:color w:val="6E6158"/>
          <w:spacing w:val="27"/>
        </w:rPr>
        <w:t> </w:t>
      </w:r>
      <w:r>
        <w:rPr>
          <w:color w:val="6E6158"/>
        </w:rPr>
        <w:t>Arizona</w:t>
      </w:r>
      <w:r>
        <w:rPr>
          <w:color w:val="6E6158"/>
          <w:spacing w:val="27"/>
        </w:rPr>
        <w:t> </w:t>
      </w:r>
      <w:r>
        <w:rPr>
          <w:color w:val="6E6158"/>
        </w:rPr>
        <w:t>State</w:t>
      </w:r>
    </w:p>
    <w:p>
      <w:pPr>
        <w:pStyle w:val="BodyText"/>
        <w:spacing w:line="290" w:lineRule="auto" w:before="1"/>
        <w:ind w:left="104" w:right="223"/>
      </w:pPr>
      <w:r>
        <w:rPr>
          <w:color w:val="6E6158"/>
        </w:rPr>
        <w:t>University. His subsequent time spent as a member of ASU’s debate team laid the foundation for</w:t>
      </w:r>
      <w:r>
        <w:rPr>
          <w:color w:val="6E6158"/>
          <w:spacing w:val="40"/>
        </w:rPr>
        <w:t> </w:t>
      </w:r>
      <w:r>
        <w:rPr>
          <w:color w:val="6E6158"/>
        </w:rPr>
        <w:t>his love for advocacy and solidified that becoming a litigator would be the path for him. In law</w:t>
      </w:r>
      <w:r>
        <w:rPr>
          <w:color w:val="6E6158"/>
          <w:spacing w:val="40"/>
        </w:rPr>
        <w:t> </w:t>
      </w:r>
      <w:r>
        <w:rPr>
          <w:color w:val="6E6158"/>
        </w:rPr>
        <w:t>school, his service on the </w:t>
      </w:r>
      <w:r>
        <w:rPr>
          <w:i/>
          <w:color w:val="6E6158"/>
          <w:sz w:val="20"/>
        </w:rPr>
        <w:t>Arizona State Law Journal </w:t>
      </w:r>
      <w:r>
        <w:rPr>
          <w:color w:val="6E6158"/>
        </w:rPr>
        <w:t>culminated with a publication of his work regarding</w:t>
      </w:r>
      <w:r>
        <w:rPr>
          <w:color w:val="6E6158"/>
          <w:spacing w:val="31"/>
        </w:rPr>
        <w:t> </w:t>
      </w:r>
      <w:r>
        <w:rPr>
          <w:color w:val="6E6158"/>
        </w:rPr>
        <w:t>Amazon’s</w:t>
      </w:r>
      <w:r>
        <w:rPr>
          <w:color w:val="6E6158"/>
          <w:spacing w:val="31"/>
        </w:rPr>
        <w:t> </w:t>
      </w:r>
      <w:r>
        <w:rPr>
          <w:color w:val="6E6158"/>
        </w:rPr>
        <w:t>liability</w:t>
      </w:r>
      <w:r>
        <w:rPr>
          <w:color w:val="6E6158"/>
          <w:spacing w:val="31"/>
        </w:rPr>
        <w:t> </w:t>
      </w:r>
      <w:r>
        <w:rPr>
          <w:color w:val="6E6158"/>
        </w:rPr>
        <w:t>under</w:t>
      </w:r>
      <w:r>
        <w:rPr>
          <w:color w:val="6E6158"/>
          <w:spacing w:val="31"/>
        </w:rPr>
        <w:t> </w:t>
      </w:r>
      <w:r>
        <w:rPr>
          <w:color w:val="6E6158"/>
        </w:rPr>
        <w:t>Arizona</w:t>
      </w:r>
      <w:r>
        <w:rPr>
          <w:color w:val="6E6158"/>
          <w:spacing w:val="31"/>
        </w:rPr>
        <w:t> </w:t>
      </w:r>
      <w:r>
        <w:rPr>
          <w:color w:val="6E6158"/>
        </w:rPr>
        <w:t>law</w:t>
      </w:r>
      <w:r>
        <w:rPr>
          <w:color w:val="6E6158"/>
          <w:spacing w:val="31"/>
        </w:rPr>
        <w:t> </w:t>
      </w:r>
      <w:r>
        <w:rPr>
          <w:color w:val="6E6158"/>
        </w:rPr>
        <w:t>for</w:t>
      </w:r>
      <w:r>
        <w:rPr>
          <w:color w:val="6E6158"/>
          <w:spacing w:val="31"/>
        </w:rPr>
        <w:t> </w:t>
      </w:r>
      <w:r>
        <w:rPr>
          <w:color w:val="6E6158"/>
        </w:rPr>
        <w:t>defective</w:t>
      </w:r>
      <w:r>
        <w:rPr>
          <w:color w:val="6E6158"/>
          <w:spacing w:val="31"/>
        </w:rPr>
        <w:t> </w:t>
      </w:r>
      <w:r>
        <w:rPr>
          <w:color w:val="6E6158"/>
        </w:rPr>
        <w:t>products</w:t>
      </w:r>
      <w:r>
        <w:rPr>
          <w:color w:val="6E6158"/>
          <w:spacing w:val="31"/>
        </w:rPr>
        <w:t> </w:t>
      </w:r>
      <w:r>
        <w:rPr>
          <w:color w:val="6E6158"/>
        </w:rPr>
        <w:t>sold</w:t>
      </w:r>
      <w:r>
        <w:rPr>
          <w:color w:val="6E6158"/>
          <w:spacing w:val="31"/>
        </w:rPr>
        <w:t> </w:t>
      </w:r>
      <w:r>
        <w:rPr>
          <w:color w:val="6E6158"/>
        </w:rPr>
        <w:t>on</w:t>
      </w:r>
      <w:r>
        <w:rPr>
          <w:color w:val="6E6158"/>
          <w:spacing w:val="31"/>
        </w:rPr>
        <w:t> </w:t>
      </w:r>
      <w:r>
        <w:rPr>
          <w:color w:val="6E6158"/>
        </w:rPr>
        <w:t>its</w:t>
      </w:r>
      <w:r>
        <w:rPr>
          <w:color w:val="6E6158"/>
          <w:spacing w:val="31"/>
        </w:rPr>
        <w:t> </w:t>
      </w:r>
      <w:r>
        <w:rPr>
          <w:color w:val="6E6158"/>
        </w:rPr>
        <w:t>website.</w:t>
      </w:r>
    </w:p>
    <w:p>
      <w:pPr>
        <w:pStyle w:val="BodyText"/>
        <w:spacing w:line="295" w:lineRule="auto" w:before="200"/>
        <w:ind w:left="104" w:right="299"/>
      </w:pPr>
      <w:r>
        <w:rPr>
          <w:color w:val="6E6158"/>
        </w:rPr>
        <w:t>Outside of the office on fall weekends, you’ll find Spencer officiating college football for the</w:t>
      </w:r>
      <w:r>
        <w:rPr>
          <w:color w:val="6E6158"/>
          <w:spacing w:val="80"/>
        </w:rPr>
        <w:t> </w:t>
      </w:r>
      <w:r>
        <w:rPr>
          <w:color w:val="6E6158"/>
        </w:rPr>
        <w:t>NAIA and NCAA, as well as high school football for the Arizona Interscholastic Association. Prior</w:t>
      </w:r>
      <w:r>
        <w:rPr>
          <w:color w:val="6E6158"/>
          <w:spacing w:val="80"/>
        </w:rPr>
        <w:t> </w:t>
      </w:r>
      <w:r>
        <w:rPr>
          <w:color w:val="6E6158"/>
        </w:rPr>
        <w:t>to law school, he also obtained his real estate license and worked in property management. In</w:t>
      </w:r>
      <w:r>
        <w:rPr>
          <w:color w:val="6E6158"/>
          <w:spacing w:val="40"/>
        </w:rPr>
        <w:t> </w:t>
      </w:r>
      <w:r>
        <w:rPr>
          <w:color w:val="6E6158"/>
        </w:rPr>
        <w:t>addition to that, Spencer is quite the trading card game enthusiast.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line="288" w:lineRule="auto" w:before="137"/>
        <w:ind w:left="853" w:right="1995" w:hanging="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245673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344402pt;width:1.65pt;height:1.65pt;mso-position-horizontal-relative:page;mso-position-vertical-relative:paragraph;z-index:15729152" id="docshape13" coordorigin="1675,387" coordsize="33,33" path="m1696,419l1687,419,1683,418,1676,411,1675,408,1675,399,1676,395,1683,388,1687,387,1696,387,1699,388,1706,395,1707,399,1707,403,1707,408,1706,411,1699,418,1696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1378727</wp:posOffset>
                </wp:positionH>
                <wp:positionV relativeFrom="paragraph">
                  <wp:posOffset>338685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61241pt;margin-top:26.668146pt;width:1.65pt;height:1.65pt;mso-position-horizontal-relative:page;mso-position-vertical-relative:paragraph;z-index:15729664" id="docshape14" coordorigin="2171,533" coordsize="33,33" path="m2192,566l2183,566,2179,564,2173,558,2171,554,2171,545,2173,541,2179,535,2183,533,2192,533,2196,535,2202,541,2204,545,2204,550,2204,554,2202,558,2196,564,2192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</w:t>
      </w:r>
      <w:r>
        <w:rPr>
          <w:i/>
          <w:color w:val="6E6158"/>
          <w:sz w:val="20"/>
        </w:rPr>
        <w:t>Magna Cum Laude, </w:t>
      </w:r>
      <w:r>
        <w:rPr>
          <w:color w:val="6E6158"/>
        </w:rPr>
        <w:t>Sandra Day O’Connor College of </w:t>
      </w:r>
      <w:r>
        <w:rPr>
          <w:color w:val="6E6158"/>
        </w:rPr>
        <w:t>Law</w:t>
      </w:r>
      <w:r>
        <w:rPr>
          <w:color w:val="6E6158"/>
        </w:rPr>
        <w:t> Fennemore Diversity Scholar</w:t>
      </w:r>
    </w:p>
    <w:p>
      <w:pPr>
        <w:pStyle w:val="BodyText"/>
        <w:spacing w:line="288" w:lineRule="auto" w:before="117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233535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388624pt;width:1.65pt;height:1.65pt;mso-position-horizontal-relative:page;mso-position-vertical-relative:paragraph;z-index:15730176" id="docshape15" coordorigin="1675,368" coordsize="33,33" path="m1696,400l1687,400,1683,399,1676,392,1675,389,1675,380,1676,376,1683,369,1687,368,1696,368,1699,369,1706,376,1707,380,1707,384,1707,389,1706,392,1699,399,1696,4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 </w:t>
      </w:r>
      <w:r>
        <w:rPr>
          <w:i/>
          <w:color w:val="6E6158"/>
          <w:sz w:val="20"/>
        </w:rPr>
        <w:t>Summa Cum Laude, </w:t>
      </w:r>
      <w:r>
        <w:rPr>
          <w:color w:val="6E6158"/>
        </w:rPr>
        <w:t>W.P. Carey School of Business, Arizona State University; Barrett the Honors College, Arizona State University</w:t>
      </w:r>
    </w:p>
    <w:p>
      <w:pPr>
        <w:pStyle w:val="BodyText"/>
        <w:spacing w:after="0" w:line="288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8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7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157951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7127pt;width:1.65pt;height:1.65pt;mso-position-horizontal-relative:page;mso-position-vertical-relative:paragraph;z-index:15730688" id="docshape16" coordorigin="1675,249" coordsize="33,33" path="m1696,281l1687,281,1683,280,1676,273,1675,270,1675,261,1676,257,1683,250,1687,249,1696,249,1699,250,1706,257,1707,261,1707,265,1707,270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46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157684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16139pt;width:1.65pt;height:1.65pt;mso-position-horizontal-relative:page;mso-position-vertical-relative:paragraph;z-index:15731200" id="docshape17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2023</w:t>
      </w:r>
      <w:r>
        <w:rPr>
          <w:color w:val="6E6158"/>
          <w:spacing w:val="12"/>
        </w:rPr>
        <w:t> </w:t>
      </w:r>
      <w:r>
        <w:rPr>
          <w:color w:val="6E6158"/>
        </w:rPr>
        <w:t>Dean’s</w:t>
      </w:r>
      <w:r>
        <w:rPr>
          <w:color w:val="6E6158"/>
          <w:spacing w:val="13"/>
        </w:rPr>
        <w:t> </w:t>
      </w:r>
      <w:r>
        <w:rPr>
          <w:color w:val="6E6158"/>
        </w:rPr>
        <w:t>Award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outstanding</w:t>
      </w:r>
      <w:r>
        <w:rPr>
          <w:color w:val="6E6158"/>
          <w:spacing w:val="13"/>
        </w:rPr>
        <w:t> </w:t>
      </w:r>
      <w:r>
        <w:rPr>
          <w:color w:val="6E6158"/>
        </w:rPr>
        <w:t>performance</w:t>
      </w:r>
      <w:r>
        <w:rPr>
          <w:color w:val="6E6158"/>
          <w:spacing w:val="13"/>
        </w:rPr>
        <w:t> </w:t>
      </w:r>
      <w:r>
        <w:rPr>
          <w:color w:val="6E6158"/>
        </w:rPr>
        <w:t>at</w:t>
      </w:r>
      <w:r>
        <w:rPr>
          <w:color w:val="6E6158"/>
          <w:spacing w:val="13"/>
        </w:rPr>
        <w:t> </w:t>
      </w:r>
      <w:r>
        <w:rPr>
          <w:color w:val="6E6158"/>
        </w:rPr>
        <w:t>ASU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49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6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245350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318899pt;width:1.65pt;height:1.65pt;mso-position-horizontal-relative:page;mso-position-vertical-relative:paragraph;z-index:15731712" id="docshape18" coordorigin="1675,386" coordsize="33,33" path="m1696,419l1687,419,1683,417,1676,411,1675,407,1675,398,1676,394,1683,388,1687,386,1696,386,1699,388,1706,394,1707,398,1707,403,1707,407,1706,411,1699,417,1696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“Prime &amp; Punishment: Evaluating Amazon’s Liability for Defective Products from A-to-Z in </w:t>
      </w:r>
      <w:r>
        <w:rPr>
          <w:color w:val="6E6158"/>
        </w:rPr>
        <w:t>AZ”;</w:t>
      </w:r>
      <w:r>
        <w:rPr>
          <w:color w:val="6E6158"/>
          <w:spacing w:val="40"/>
        </w:rPr>
        <w:t> </w:t>
      </w:r>
      <w:r>
        <w:rPr>
          <w:color w:val="6E6158"/>
        </w:rPr>
        <w:t>Arizona State Law Journal, Volume 55, Issue 1</w:t>
      </w:r>
    </w:p>
    <w:p>
      <w:pPr>
        <w:pStyle w:val="Heading1"/>
        <w:spacing w:before="285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146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157630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11857pt;width:1.65pt;height:1.65pt;mso-position-horizontal-relative:page;mso-position-vertical-relative:paragraph;z-index:15732224" id="docshape19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Chair,</w:t>
      </w:r>
      <w:r>
        <w:rPr>
          <w:color w:val="6E6158"/>
          <w:spacing w:val="12"/>
        </w:rPr>
        <w:t> </w:t>
      </w:r>
      <w:r>
        <w:rPr>
          <w:color w:val="6E6158"/>
        </w:rPr>
        <w:t>Fennemore’s</w:t>
      </w:r>
      <w:r>
        <w:rPr>
          <w:color w:val="6E6158"/>
          <w:spacing w:val="12"/>
        </w:rPr>
        <w:t> </w:t>
      </w:r>
      <w:r>
        <w:rPr>
          <w:color w:val="6E6158"/>
        </w:rPr>
        <w:t>Diversity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Inclusion</w:t>
      </w:r>
      <w:r>
        <w:rPr>
          <w:color w:val="6E6158"/>
          <w:spacing w:val="12"/>
        </w:rPr>
        <w:t> </w:t>
      </w:r>
      <w:r>
        <w:rPr>
          <w:color w:val="6E6158"/>
        </w:rPr>
        <w:t>Council,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before="49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152919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40868pt;width:1.65pt;height:1.65pt;mso-position-horizontal-relative:page;mso-position-vertical-relative:paragraph;z-index:15732736" id="docshape20" coordorigin="1675,241" coordsize="33,33" path="m1696,273l1687,273,1683,272,1676,265,1675,262,1675,253,1676,249,1683,242,1687,241,1696,241,1699,242,1706,249,1707,253,1707,257,1707,262,1706,265,1699,272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175181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93788pt;width:1.65pt;height:1.65pt;mso-position-horizontal-relative:page;mso-position-vertical-relative:paragraph;z-index:15733248" id="docshape21" coordorigin="1675,276" coordsize="33,33" path="m1696,308l1687,308,1683,307,1676,300,1675,297,1675,288,1676,284,1683,277,1687,276,1696,276,1699,277,1706,284,1707,288,1707,292,1707,297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sshockness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2025-10-10T23:36:37Z</dcterms:created>
  <dcterms:modified xsi:type="dcterms:W3CDTF">2025-10-10T23:36:37Z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2025-10-10T00:00:00Z</vt:filetime>
  </property>
  <property fmtid="{D5CDD505-2E9C-101B-9397-08002B2CF9AE}" pid="5" name="Producer">
    <vt:lpwstr>Skia/PDF m117</vt:lpwstr>
  </property>
</Properties>
</file>