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NGELA HAN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ANGELA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HAN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510.622.7523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510.834.1928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ahan@fennemorelaw.com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ANGELA HAN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ANGELA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HAN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510.622.7523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510.834.1928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ahan@fennemorelaw.com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</w:pPr>
      <w:r>
        <w:rPr>
          <w:color w:val="FF8100"/>
        </w:rPr>
        <w:t>ANGELA</w:t>
      </w:r>
      <w:r>
        <w:rPr>
          <w:color w:val="FF8100"/>
          <w:spacing w:val="10"/>
        </w:rPr>
        <w:t> </w:t>
      </w:r>
      <w:r>
        <w:rPr>
          <w:color w:val="FF8100"/>
          <w:spacing w:val="-5"/>
        </w:rPr>
        <w:t>HAN</w:t>
      </w:r>
    </w:p>
    <w:p>
      <w:pPr>
        <w:pStyle w:val="BodyText"/>
        <w:spacing w:line="297" w:lineRule="auto" w:before="147"/>
        <w:ind w:left="99" w:right="663"/>
      </w:pPr>
      <w:r>
        <w:rPr>
          <w:color w:val="6E6158"/>
        </w:rPr>
        <w:t>As a member of the firm’s </w:t>
      </w:r>
      <w:hyperlink r:id="rId8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group, Angela assists clients with their most</w:t>
      </w:r>
      <w:r>
        <w:rPr>
          <w:color w:val="6E6158"/>
          <w:spacing w:val="40"/>
        </w:rPr>
        <w:t> </w:t>
      </w:r>
      <w:r>
        <w:rPr>
          <w:color w:val="6E6158"/>
        </w:rPr>
        <w:t>challenging commercial litigation disputes from pre-litigation case assessment to resolution. </w:t>
      </w:r>
      <w:r>
        <w:rPr>
          <w:color w:val="6E6158"/>
        </w:rPr>
        <w:t>She</w:t>
      </w:r>
      <w:r>
        <w:rPr>
          <w:color w:val="6E6158"/>
          <w:spacing w:val="40"/>
        </w:rPr>
        <w:t> </w:t>
      </w:r>
      <w:r>
        <w:rPr>
          <w:color w:val="6E6158"/>
        </w:rPr>
        <w:t>has</w:t>
      </w:r>
      <w:r>
        <w:rPr>
          <w:color w:val="6E6158"/>
          <w:spacing w:val="31"/>
        </w:rPr>
        <w:t> </w:t>
      </w:r>
      <w:r>
        <w:rPr>
          <w:color w:val="6E6158"/>
        </w:rPr>
        <w:t>experience</w:t>
      </w:r>
      <w:r>
        <w:rPr>
          <w:color w:val="6E6158"/>
          <w:spacing w:val="31"/>
        </w:rPr>
        <w:t> </w:t>
      </w:r>
      <w:r>
        <w:rPr>
          <w:color w:val="6E6158"/>
        </w:rPr>
        <w:t>defending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broad</w:t>
      </w:r>
      <w:r>
        <w:rPr>
          <w:color w:val="6E6158"/>
          <w:spacing w:val="31"/>
        </w:rPr>
        <w:t> </w:t>
      </w:r>
      <w:r>
        <w:rPr>
          <w:color w:val="6E6158"/>
        </w:rPr>
        <w:t>range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civil</w:t>
      </w:r>
      <w:r>
        <w:rPr>
          <w:color w:val="6E6158"/>
          <w:spacing w:val="31"/>
        </w:rPr>
        <w:t> </w:t>
      </w:r>
      <w:r>
        <w:rPr>
          <w:color w:val="6E6158"/>
        </w:rPr>
        <w:t>matters,</w:t>
      </w:r>
      <w:r>
        <w:rPr>
          <w:color w:val="6E6158"/>
          <w:spacing w:val="31"/>
        </w:rPr>
        <w:t> </w:t>
      </w:r>
      <w:r>
        <w:rPr>
          <w:color w:val="6E6158"/>
        </w:rPr>
        <w:t>including</w:t>
      </w:r>
      <w:r>
        <w:rPr>
          <w:color w:val="6E6158"/>
          <w:spacing w:val="31"/>
        </w:rPr>
        <w:t> </w:t>
      </w:r>
      <w:r>
        <w:rPr>
          <w:color w:val="6E6158"/>
        </w:rPr>
        <w:t>complex</w:t>
      </w:r>
      <w:r>
        <w:rPr>
          <w:color w:val="6E6158"/>
          <w:spacing w:val="31"/>
        </w:rPr>
        <w:t> </w:t>
      </w:r>
      <w:r>
        <w:rPr>
          <w:color w:val="6E6158"/>
        </w:rPr>
        <w:t>business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</w:p>
    <w:p>
      <w:pPr>
        <w:pStyle w:val="BodyText"/>
        <w:spacing w:line="302" w:lineRule="auto"/>
        <w:ind w:left="99" w:right="663"/>
      </w:pPr>
      <w:r>
        <w:rPr>
          <w:color w:val="6E6158"/>
        </w:rPr>
        <w:t>contract disputes, products liability, mass torts, unfair competition, personal injury, </w:t>
      </w:r>
      <w:r>
        <w:rPr>
          <w:color w:val="6E6158"/>
        </w:rPr>
        <w:t>premises</w:t>
      </w:r>
      <w:r>
        <w:rPr>
          <w:color w:val="6E6158"/>
          <w:spacing w:val="40"/>
        </w:rPr>
        <w:t> </w:t>
      </w:r>
      <w:r>
        <w:rPr>
          <w:color w:val="6E6158"/>
        </w:rPr>
        <w:t>liability,</w:t>
      </w:r>
      <w:r>
        <w:rPr>
          <w:color w:val="6E6158"/>
          <w:spacing w:val="34"/>
        </w:rPr>
        <w:t> </w:t>
      </w:r>
      <w:r>
        <w:rPr>
          <w:color w:val="6E6158"/>
        </w:rPr>
        <w:t>class</w:t>
      </w:r>
      <w:r>
        <w:rPr>
          <w:color w:val="6E6158"/>
          <w:spacing w:val="34"/>
        </w:rPr>
        <w:t> </w:t>
      </w:r>
      <w:r>
        <w:rPr>
          <w:color w:val="6E6158"/>
        </w:rPr>
        <w:t>actions,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more.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addition,</w:t>
      </w:r>
      <w:r>
        <w:rPr>
          <w:color w:val="6E6158"/>
          <w:spacing w:val="34"/>
        </w:rPr>
        <w:t> </w:t>
      </w:r>
      <w:r>
        <w:rPr>
          <w:color w:val="6E6158"/>
        </w:rPr>
        <w:t>Angela</w:t>
      </w:r>
      <w:r>
        <w:rPr>
          <w:color w:val="6E6158"/>
          <w:spacing w:val="34"/>
        </w:rPr>
        <w:t> </w:t>
      </w:r>
      <w:r>
        <w:rPr>
          <w:color w:val="6E6158"/>
        </w:rPr>
        <w:t>has</w:t>
      </w:r>
      <w:r>
        <w:rPr>
          <w:color w:val="6E6158"/>
          <w:spacing w:val="34"/>
        </w:rPr>
        <w:t> </w:t>
      </w:r>
      <w:r>
        <w:rPr>
          <w:color w:val="6E6158"/>
        </w:rPr>
        <w:t>experienced</w:t>
      </w:r>
      <w:r>
        <w:rPr>
          <w:color w:val="6E6158"/>
          <w:spacing w:val="34"/>
        </w:rPr>
        <w:t> </w:t>
      </w:r>
      <w:r>
        <w:rPr>
          <w:color w:val="6E6158"/>
        </w:rPr>
        <w:t>advising</w:t>
      </w:r>
      <w:r>
        <w:rPr>
          <w:color w:val="6E6158"/>
          <w:spacing w:val="34"/>
        </w:rPr>
        <w:t> </w:t>
      </w:r>
      <w:r>
        <w:rPr>
          <w:color w:val="6E6158"/>
        </w:rPr>
        <w:t>product</w:t>
      </w:r>
    </w:p>
    <w:p>
      <w:pPr>
        <w:pStyle w:val="BodyText"/>
        <w:spacing w:line="292" w:lineRule="auto"/>
        <w:ind w:left="99" w:right="589"/>
      </w:pPr>
      <w:r>
        <w:rPr>
          <w:color w:val="6E6158"/>
        </w:rPr>
        <w:t>manufacturers, retailers, and distributors on risk management, both state and federal </w:t>
      </w:r>
      <w:r>
        <w:rPr>
          <w:color w:val="6E6158"/>
        </w:rPr>
        <w:t>regulatory</w:t>
      </w:r>
      <w:r>
        <w:rPr>
          <w:color w:val="6E6158"/>
          <w:spacing w:val="40"/>
        </w:rPr>
        <w:t> </w:t>
      </w:r>
      <w:r>
        <w:rPr>
          <w:color w:val="6E6158"/>
        </w:rPr>
        <w:t>compliance issues, and related litigation. Angela is adept in all litigation phases, including case</w:t>
      </w:r>
      <w:r>
        <w:rPr>
          <w:color w:val="6E6158"/>
          <w:spacing w:val="40"/>
        </w:rPr>
        <w:t> </w:t>
      </w:r>
      <w:r>
        <w:rPr>
          <w:color w:val="6E6158"/>
        </w:rPr>
        <w:t>assessment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early</w:t>
      </w:r>
      <w:r>
        <w:rPr>
          <w:color w:val="6E6158"/>
          <w:spacing w:val="40"/>
        </w:rPr>
        <w:t> </w:t>
      </w:r>
      <w:r>
        <w:rPr>
          <w:color w:val="6E6158"/>
        </w:rPr>
        <w:t>strategy</w:t>
      </w:r>
      <w:r>
        <w:rPr>
          <w:color w:val="6E6158"/>
          <w:spacing w:val="40"/>
        </w:rPr>
        <w:t> </w:t>
      </w:r>
      <w:r>
        <w:rPr>
          <w:color w:val="6E6158"/>
        </w:rPr>
        <w:t>development,</w:t>
      </w:r>
      <w:r>
        <w:rPr>
          <w:color w:val="6E6158"/>
          <w:spacing w:val="40"/>
        </w:rPr>
        <w:t> </w:t>
      </w:r>
      <w:r>
        <w:rPr>
          <w:color w:val="6E6158"/>
        </w:rPr>
        <w:t>pleadings,</w:t>
      </w:r>
      <w:r>
        <w:rPr>
          <w:color w:val="6E6158"/>
          <w:spacing w:val="40"/>
        </w:rPr>
        <w:t> </w:t>
      </w:r>
      <w:r>
        <w:rPr>
          <w:color w:val="6E6158"/>
        </w:rPr>
        <w:t>discovery,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dispositive</w:t>
      </w:r>
      <w:r>
        <w:rPr>
          <w:color w:val="6E6158"/>
          <w:spacing w:val="40"/>
        </w:rPr>
        <w:t> </w:t>
      </w:r>
      <w:r>
        <w:rPr>
          <w:color w:val="6E6158"/>
        </w:rPr>
        <w:t>motions.</w:t>
      </w:r>
    </w:p>
    <w:p>
      <w:pPr>
        <w:pStyle w:val="BodyText"/>
        <w:spacing w:line="292" w:lineRule="auto" w:before="192"/>
        <w:ind w:left="99" w:right="663"/>
      </w:pPr>
      <w:r>
        <w:rPr>
          <w:color w:val="6E6158"/>
        </w:rPr>
        <w:t>Prior to joining the firm, Angela worked as a litigation and dispute resolution associate in the San</w:t>
      </w:r>
      <w:r>
        <w:rPr>
          <w:color w:val="6E6158"/>
          <w:spacing w:val="40"/>
        </w:rPr>
        <w:t> </w:t>
      </w:r>
      <w:r>
        <w:rPr>
          <w:color w:val="6E6158"/>
        </w:rPr>
        <w:t>Francisco Bay Area. During law school, she served as a judicial extern for the Honorable Judge</w:t>
      </w:r>
      <w:r>
        <w:rPr>
          <w:color w:val="6E6158"/>
          <w:spacing w:val="40"/>
        </w:rPr>
        <w:t> </w:t>
      </w:r>
      <w:r>
        <w:rPr>
          <w:color w:val="6E6158"/>
        </w:rPr>
        <w:t>William H. Orrick, United States District Court, Northern District of California.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155"/>
      </w:pPr>
      <w:r>
        <w:rPr>
          <w:color w:val="6E6158"/>
        </w:rPr>
        <w:t>J.D.,</w:t>
      </w:r>
      <w:r>
        <w:rPr>
          <w:color w:val="6E6158"/>
          <w:spacing w:val="12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California,</w:t>
      </w:r>
      <w:r>
        <w:rPr>
          <w:color w:val="6E6158"/>
          <w:spacing w:val="12"/>
        </w:rPr>
        <w:t> </w:t>
      </w:r>
      <w:r>
        <w:rPr>
          <w:color w:val="6E6158"/>
        </w:rPr>
        <w:t>Davis</w:t>
      </w:r>
      <w:r>
        <w:rPr>
          <w:color w:val="6E6158"/>
          <w:spacing w:val="12"/>
        </w:rPr>
        <w:t> </w:t>
      </w:r>
      <w:r>
        <w:rPr>
          <w:color w:val="6E6158"/>
        </w:rPr>
        <w:t>School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0" w:lineRule="auto" w:before="51"/>
        <w:ind w:left="848" w:right="22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391888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0.857355pt;width:1.65pt;height:1.65pt;mso-position-horizontal-relative:page;mso-position-vertical-relative:paragraph;z-index:15729152" id="docshape7" coordorigin="1670,617" coordsize="33,33" path="m1691,650l1682,650,1678,648,1671,642,1670,638,1670,629,1671,625,1678,619,1682,617,1691,617,1694,619,1701,625,1702,629,1702,633,1702,638,1701,642,1694,648,1691,65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1375552</wp:posOffset>
                </wp:positionH>
                <wp:positionV relativeFrom="paragraph">
                  <wp:posOffset>92184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7.258612pt;width:1.65pt;height:1.65pt;mso-position-horizontal-relative:page;mso-position-vertical-relative:paragraph;z-index:15729664" id="docshape8" coordorigin="2166,145" coordsize="33,33" path="m2187,178l2178,178,2174,176,2168,170,2166,166,2166,157,2168,153,2174,147,2178,145,2187,145,2191,147,2197,153,2199,157,2199,161,2199,166,2197,170,2191,176,2187,17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1375552</wp:posOffset>
                </wp:positionH>
                <wp:positionV relativeFrom="paragraph">
                  <wp:posOffset>355717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8.009228pt;width:1.65pt;height:1.65pt;mso-position-horizontal-relative:page;mso-position-vertical-relative:paragraph;z-index:15730176" id="docshape9" coordorigin="2166,560" coordsize="33,33" path="m2187,593l2178,593,2174,591,2168,585,2166,581,2166,572,2168,568,2174,562,2178,560,2187,560,2191,562,2197,568,2199,572,2199,576,2199,581,2197,585,2191,591,2187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Witkin Award, Academic Excellence in Legal Research and </w:t>
      </w:r>
      <w:r>
        <w:rPr>
          <w:color w:val="6E6158"/>
        </w:rPr>
        <w:t>Writing Senior Editor, U.C. Davis Law Review</w:t>
      </w:r>
    </w:p>
    <w:p>
      <w:pPr>
        <w:pStyle w:val="BodyText"/>
        <w:spacing w:line="231" w:lineRule="exact"/>
        <w:ind w:left="8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1375552</wp:posOffset>
                </wp:positionH>
                <wp:positionV relativeFrom="paragraph">
                  <wp:posOffset>63957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5.036026pt;width:1.65pt;height:1.65pt;mso-position-horizontal-relative:page;mso-position-vertical-relative:paragraph;z-index:15730688" id="docshape10" coordorigin="2166,101" coordsize="33,33" path="m2187,133l2178,133,2174,132,2168,125,2166,121,2166,113,2168,109,2174,102,2178,101,2187,101,2191,102,2197,109,2199,113,2199,117,2199,121,2197,125,2191,132,2187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Staff</w:t>
      </w:r>
      <w:r>
        <w:rPr>
          <w:color w:val="6E6158"/>
          <w:spacing w:val="7"/>
        </w:rPr>
        <w:t> </w:t>
      </w:r>
      <w:r>
        <w:rPr>
          <w:color w:val="6E6158"/>
        </w:rPr>
        <w:t>Editor,</w:t>
      </w:r>
      <w:r>
        <w:rPr>
          <w:color w:val="6E6158"/>
          <w:spacing w:val="7"/>
        </w:rPr>
        <w:t> </w:t>
      </w:r>
      <w:r>
        <w:rPr>
          <w:color w:val="6E6158"/>
        </w:rPr>
        <w:t>U.C.</w:t>
      </w:r>
      <w:r>
        <w:rPr>
          <w:color w:val="6E6158"/>
          <w:spacing w:val="7"/>
        </w:rPr>
        <w:t> </w:t>
      </w:r>
      <w:r>
        <w:rPr>
          <w:color w:val="6E6158"/>
        </w:rPr>
        <w:t>Davis</w:t>
      </w:r>
      <w:r>
        <w:rPr>
          <w:color w:val="6E6158"/>
          <w:spacing w:val="8"/>
        </w:rPr>
        <w:t> </w:t>
      </w:r>
      <w:r>
        <w:rPr>
          <w:color w:val="6E6158"/>
        </w:rPr>
        <w:t>Business</w:t>
      </w:r>
      <w:r>
        <w:rPr>
          <w:color w:val="6E6158"/>
          <w:spacing w:val="7"/>
        </w:rPr>
        <w:t> </w:t>
      </w:r>
      <w:r>
        <w:rPr>
          <w:color w:val="6E6158"/>
        </w:rPr>
        <w:t>Law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Journal</w:t>
      </w:r>
    </w:p>
    <w:p>
      <w:pPr>
        <w:pStyle w:val="BodyText"/>
        <w:spacing w:line="420" w:lineRule="auto" w:before="182"/>
        <w:ind w:right="3558" w:firstLine="4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1375552</wp:posOffset>
                </wp:positionH>
                <wp:positionV relativeFrom="paragraph">
                  <wp:posOffset>175406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13.811532pt;width:1.65pt;height:1.65pt;mso-position-horizontal-relative:page;mso-position-vertical-relative:paragraph;z-index:15731200" id="docshape11" coordorigin="2166,276" coordsize="33,33" path="m2187,309l2178,309,2174,307,2168,301,2166,297,2166,288,2168,284,2174,278,2178,276,2187,276,2191,278,2197,284,2199,288,2199,293,2199,297,2197,301,2191,307,2187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433772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5277pt;width:1.65pt;height:1.65pt;mso-position-horizontal-relative:page;mso-position-vertical-relative:paragraph;z-index:15731712" id="docshape12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Korean American Law Students Association, </w:t>
      </w:r>
      <w:r>
        <w:rPr>
          <w:color w:val="6E6158"/>
        </w:rPr>
        <w:t>President B.A., University of Washington</w:t>
      </w:r>
    </w:p>
    <w:p>
      <w:pPr>
        <w:pStyle w:val="Heading1"/>
        <w:spacing w:before="16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7"/>
        <w:ind w:right="71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157921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4799pt;width:1.65pt;height:1.65pt;mso-position-horizontal-relative:page;mso-position-vertical-relative:paragraph;z-index:15732224" id="docshape13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416287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8542pt;width:1.65pt;height:1.65pt;mso-position-horizontal-relative:page;mso-position-vertical-relative:paragraph;z-index:15732736" id="docshape14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</w:t>
      </w:r>
      <w:r>
        <w:rPr>
          <w:color w:val="6E6158"/>
        </w:rPr>
        <w:t>Litigation Health Care</w:t>
      </w:r>
    </w:p>
    <w:p>
      <w:pPr>
        <w:pStyle w:val="Heading1"/>
        <w:spacing w:before="168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08" w:lineRule="auto" w:before="139"/>
        <w:ind w:right="6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162749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814938pt;width:1.65pt;height:1.65pt;mso-position-horizontal-relative:page;mso-position-vertical-relative:paragraph;z-index:15733248" id="docshape15" coordorigin="1670,256" coordsize="33,33" path="m1691,289l1682,289,1678,287,1671,281,1670,277,1670,268,1671,264,1678,258,1682,256,1691,256,1694,258,1701,264,1702,268,1702,273,1702,277,1701,281,1694,287,1691,2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436617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379295pt;width:1.65pt;height:1.65pt;mso-position-horizontal-relative:page;mso-position-vertical-relative:paragraph;z-index:15733760" id="docshape16" coordorigin="1670,688" coordsize="33,33" path="m1691,720l1682,720,1678,719,1671,712,1670,708,1670,699,1671,696,1678,689,1682,688,1691,688,1694,689,1701,696,1702,699,1702,704,1702,708,1701,712,1694,719,1691,7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</w:rPr>
        <w:t>Ones to Watch, Commercial Litigation, Health Care Law, 2026 California Lawyers Association, Wiley W. Manuel Pro Bono Legal Services Award, 2023</w:t>
      </w:r>
    </w:p>
    <w:p>
      <w:pPr>
        <w:pStyle w:val="BodyText"/>
        <w:spacing w:after="0" w:line="408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4272" id="docshape17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Leadership</w:t>
      </w:r>
      <w:r>
        <w:rPr>
          <w:color w:val="6E6158"/>
          <w:spacing w:val="15"/>
        </w:rPr>
        <w:t> </w:t>
      </w:r>
      <w:r>
        <w:rPr>
          <w:color w:val="6E6158"/>
        </w:rPr>
        <w:t>Council</w:t>
      </w:r>
      <w:r>
        <w:rPr>
          <w:color w:val="6E6158"/>
          <w:spacing w:val="15"/>
        </w:rPr>
        <w:t> </w:t>
      </w:r>
      <w:r>
        <w:rPr>
          <w:color w:val="6E6158"/>
        </w:rPr>
        <w:t>on</w:t>
      </w:r>
      <w:r>
        <w:rPr>
          <w:color w:val="6E6158"/>
          <w:spacing w:val="16"/>
        </w:rPr>
        <w:t> </w:t>
      </w:r>
      <w:r>
        <w:rPr>
          <w:color w:val="6E6158"/>
        </w:rPr>
        <w:t>Legal</w:t>
      </w:r>
      <w:r>
        <w:rPr>
          <w:color w:val="6E6158"/>
          <w:spacing w:val="15"/>
        </w:rPr>
        <w:t> </w:t>
      </w:r>
      <w:r>
        <w:rPr>
          <w:color w:val="6E6158"/>
        </w:rPr>
        <w:t>Diversity,</w:t>
      </w:r>
      <w:r>
        <w:rPr>
          <w:color w:val="6E6158"/>
          <w:spacing w:val="16"/>
        </w:rPr>
        <w:t> </w:t>
      </w:r>
      <w:r>
        <w:rPr>
          <w:color w:val="6E6158"/>
        </w:rPr>
        <w:t>Pathfinders,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2022</w:t>
      </w:r>
    </w:p>
    <w:p>
      <w:pPr>
        <w:pStyle w:val="Heading1"/>
        <w:spacing w:before="213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158099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879pt;width:1.65pt;height:1.65pt;mso-position-horizontal-relative:page;mso-position-vertical-relative:paragraph;z-index:15734784" id="docshape18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175194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4835pt;width:1.65pt;height:1.65pt;mso-position-horizontal-relative:page;mso-position-vertical-relative:paragraph;z-index:15735296" id="docshape19" coordorigin="1670,276" coordsize="33,33" path="m1691,308l1682,308,1678,307,1671,301,1670,297,1670,288,1671,284,1678,277,1682,276,1691,276,1694,277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Appeals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Ninth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175231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774pt;width:1.65pt;height:1.65pt;mso-position-horizontal-relative:page;mso-position-vertical-relative:paragraph;z-index:15735808" id="docshape20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Northern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175181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3783pt;width:1.65pt;height:1.65pt;mso-position-horizontal-relative:page;mso-position-vertical-relative:paragraph;z-index:15736320" id="docshape21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Central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175130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9828pt;width:1.65pt;height:1.65pt;mso-position-horizontal-relative:page;mso-position-vertical-relative:paragraph;z-index:15736832" id="docshape22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Eastern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7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aha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Angela Han - Fennemore</dc:title>
  <dcterms:created xsi:type="dcterms:W3CDTF">2025-11-06T22:36:33Z</dcterms:created>
  <dcterms:modified xsi:type="dcterms:W3CDTF">2025-11-06T22:36:33Z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2025-11-06T00:00:00Z</vt:filetime>
  </property>
  <property fmtid="{D5CDD505-2E9C-101B-9397-08002B2CF9AE}" pid="5" name="Producer">
    <vt:lpwstr>Skia/PDF m141</vt:lpwstr>
  </property>
</Properties>
</file>