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7" w:lineRule="auto" w:before="1"/>
        <w:ind w:left="99"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60628" y="763308"/>
                            <a:ext cx="13989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DARIEN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KEY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dkey@fennemorelaw.com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91379" y="3482163"/>
                            <a:ext cx="33051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Happiness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achievement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thrill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creative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effort.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Franklin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Delano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880744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DARIEN</w:t>
                              </w:r>
                              <w:r>
                                <w:rPr>
                                  <w:b/>
                                  <w:color w:val="FF810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5"/>
                                  <w:sz w:val="24"/>
                                </w:rPr>
                                <w:t>KEY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13;top:-5016;width:2784;height:505" id="docshape6" coordorigin="7114,-5016" coordsize="2784,505" path="m9897,-4520l7114,-4520,7114,-4511,9897,-4511,9897,-4520xm9897,-5016l7114,-5016,7114,-5008,9897,-5008,989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15;top:-5971;width:220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DARIEN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KEY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44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dkey@fennemorelaw.com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27;top:-1689;width:520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Happiness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achievement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thrill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creative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effort.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Franklin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Delano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38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DARIEN</w:t>
                        </w:r>
                        <w:r>
                          <w:rPr>
                            <w:b/>
                            <w:color w:val="FF810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5"/>
                            <w:sz w:val="24"/>
                          </w:rPr>
                          <w:t>KEY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Darien Key is an associate attorney who works out of our Oakland office in our Land Use and</w:t>
      </w:r>
      <w:r>
        <w:rPr>
          <w:color w:val="6E6158"/>
          <w:spacing w:val="40"/>
        </w:rPr>
        <w:t> </w:t>
      </w:r>
      <w:r>
        <w:rPr>
          <w:color w:val="6E6158"/>
        </w:rPr>
        <w:t>Natural Resources practice groups. Darien’s practice focuses on Land Use entitlement (such as</w:t>
      </w:r>
      <w:r>
        <w:rPr>
          <w:color w:val="6E6158"/>
          <w:spacing w:val="40"/>
        </w:rPr>
        <w:t> </w:t>
      </w:r>
      <w:r>
        <w:rPr>
          <w:color w:val="6E6158"/>
        </w:rPr>
        <w:t>the Subdivision Map Act, Housing Accountability Act, and Builder’s Remedy), CEQA (California</w:t>
      </w:r>
      <w:r>
        <w:rPr>
          <w:color w:val="6E6158"/>
          <w:spacing w:val="40"/>
        </w:rPr>
        <w:t> </w:t>
      </w:r>
      <w:r>
        <w:rPr>
          <w:color w:val="6E6158"/>
        </w:rPr>
        <w:t>Environmental Quality Act), municipal law (such as the Brown Act, Public Records Act, Conflicts</w:t>
      </w:r>
      <w:r>
        <w:rPr>
          <w:color w:val="6E6158"/>
          <w:spacing w:val="80"/>
        </w:rPr>
        <w:t> </w:t>
      </w:r>
      <w:r>
        <w:rPr>
          <w:color w:val="6E6158"/>
        </w:rPr>
        <w:t>of Interest, etc.), water (SGMA compliance and groundwater adjudications), and related</w:t>
      </w:r>
      <w:r>
        <w:rPr>
          <w:color w:val="6E6158"/>
          <w:spacing w:val="40"/>
        </w:rPr>
        <w:t> </w:t>
      </w:r>
      <w:r>
        <w:rPr>
          <w:color w:val="6E6158"/>
        </w:rPr>
        <w:t>environmental laws both on the transactional side but also in litigation.</w:t>
      </w:r>
    </w:p>
    <w:p>
      <w:pPr>
        <w:pStyle w:val="BodyText"/>
        <w:spacing w:line="295" w:lineRule="auto" w:before="187"/>
        <w:ind w:left="99" w:right="339"/>
      </w:pPr>
      <w:r>
        <w:rPr>
          <w:color w:val="6E6158"/>
        </w:rPr>
        <w:t>Born and raised in Bakersfield, CA, Darien understands the importance of land use, water,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regulations in California. His extensive experience in administrative rule-making</w:t>
      </w:r>
      <w:r>
        <w:rPr>
          <w:color w:val="6E6158"/>
          <w:spacing w:val="80"/>
        </w:rPr>
        <w:t> </w:t>
      </w:r>
      <w:r>
        <w:rPr>
          <w:color w:val="6E6158"/>
        </w:rPr>
        <w:t>and municipal processes ensures that clients receive knowledgeable and strategic counsel in</w:t>
      </w:r>
      <w:r>
        <w:rPr>
          <w:color w:val="6E6158"/>
          <w:spacing w:val="40"/>
        </w:rPr>
        <w:t> </w:t>
      </w:r>
      <w:r>
        <w:rPr>
          <w:color w:val="6E6158"/>
        </w:rPr>
        <w:t>addressing local land use, water, and environmental challenges. Additionally he helps his agricultural and industrial clients in developing and implementing effective strategies to </w:t>
      </w:r>
      <w:r>
        <w:rPr>
          <w:color w:val="6E6158"/>
        </w:rPr>
        <w:t>obtain,</w:t>
      </w:r>
      <w:r>
        <w:rPr>
          <w:color w:val="6E6158"/>
          <w:spacing w:val="40"/>
        </w:rPr>
        <w:t> </w:t>
      </w:r>
      <w:r>
        <w:rPr>
          <w:color w:val="6E6158"/>
        </w:rPr>
        <w:t>maintain,</w:t>
      </w:r>
      <w:r>
        <w:rPr>
          <w:color w:val="6E6158"/>
          <w:spacing w:val="34"/>
        </w:rPr>
        <w:t> </w:t>
      </w:r>
      <w:r>
        <w:rPr>
          <w:color w:val="6E6158"/>
        </w:rPr>
        <w:t>protect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transfer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rights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supplies.</w:t>
      </w:r>
      <w:r>
        <w:rPr>
          <w:color w:val="6E6158"/>
          <w:spacing w:val="34"/>
        </w:rPr>
        <w:t> </w:t>
      </w:r>
      <w:r>
        <w:rPr>
          <w:color w:val="6E6158"/>
        </w:rPr>
        <w:t>Darien</w:t>
      </w:r>
      <w:r>
        <w:rPr>
          <w:color w:val="6E6158"/>
          <w:spacing w:val="34"/>
        </w:rPr>
        <w:t> </w:t>
      </w:r>
      <w:r>
        <w:rPr>
          <w:color w:val="6E6158"/>
        </w:rPr>
        <w:t>enjoys</w:t>
      </w:r>
      <w:r>
        <w:rPr>
          <w:color w:val="6E6158"/>
          <w:spacing w:val="34"/>
        </w:rPr>
        <w:t> </w:t>
      </w:r>
      <w:r>
        <w:rPr>
          <w:color w:val="6E6158"/>
        </w:rPr>
        <w:t>helping</w:t>
      </w:r>
      <w:r>
        <w:rPr>
          <w:color w:val="6E6158"/>
          <w:spacing w:val="34"/>
        </w:rPr>
        <w:t> </w:t>
      </w:r>
      <w:r>
        <w:rPr>
          <w:color w:val="6E6158"/>
        </w:rPr>
        <w:t>people,</w:t>
      </w:r>
    </w:p>
    <w:p>
      <w:pPr>
        <w:pStyle w:val="BodyText"/>
        <w:spacing w:line="292" w:lineRule="auto" w:before="6"/>
        <w:ind w:left="99" w:right="236"/>
      </w:pPr>
      <w:r>
        <w:rPr>
          <w:color w:val="6E6158"/>
        </w:rPr>
        <w:t>businesses, and local governments solve their problems by translating “legalese” into everyday</w:t>
      </w:r>
      <w:r>
        <w:rPr>
          <w:color w:val="6E6158"/>
          <w:spacing w:val="40"/>
        </w:rPr>
        <w:t> </w:t>
      </w:r>
      <w:r>
        <w:rPr>
          <w:color w:val="6E6158"/>
        </w:rPr>
        <w:t>language that helps clients make the necessary decisions to push projects forward. In his role, he</w:t>
      </w:r>
      <w:r>
        <w:rPr>
          <w:color w:val="6E6158"/>
          <w:spacing w:val="40"/>
        </w:rPr>
        <w:t> </w:t>
      </w:r>
      <w:r>
        <w:rPr>
          <w:color w:val="6E6158"/>
        </w:rPr>
        <w:t>becomes the face of the law – forming solid relationships and making sure he cares for his clients</w:t>
      </w:r>
      <w:r>
        <w:rPr>
          <w:color w:val="6E6158"/>
          <w:spacing w:val="40"/>
        </w:rPr>
        <w:t> </w:t>
      </w:r>
      <w:r>
        <w:rPr>
          <w:color w:val="6E6158"/>
        </w:rPr>
        <w:t>business the same way they do.</w:t>
      </w:r>
    </w:p>
    <w:p>
      <w:pPr>
        <w:pStyle w:val="BodyText"/>
        <w:spacing w:line="292" w:lineRule="auto" w:before="206"/>
        <w:ind w:left="99" w:right="339"/>
      </w:pPr>
      <w:r>
        <w:rPr>
          <w:color w:val="6E6158"/>
        </w:rPr>
        <w:t>Outside of work, Darien is a workout warrior who enjoys hiking, weight lifting, and rock climbing,</w:t>
      </w:r>
      <w:r>
        <w:rPr>
          <w:color w:val="6E6158"/>
          <w:spacing w:val="40"/>
        </w:rPr>
        <w:t> </w:t>
      </w:r>
      <w:r>
        <w:rPr>
          <w:color w:val="6E6158"/>
        </w:rPr>
        <w:t>as well as just relaxing with his two dogs and two cats. He’s also a great cook inspired by the</w:t>
      </w:r>
      <w:r>
        <w:rPr>
          <w:color w:val="6E6158"/>
          <w:spacing w:val="40"/>
        </w:rPr>
        <w:t> </w:t>
      </w:r>
      <w:r>
        <w:rPr>
          <w:color w:val="6E6158"/>
        </w:rPr>
        <w:t>creativity</w:t>
      </w:r>
      <w:r>
        <w:rPr>
          <w:color w:val="6E6158"/>
          <w:spacing w:val="28"/>
        </w:rPr>
        <w:t> </w:t>
      </w:r>
      <w:r>
        <w:rPr>
          <w:color w:val="6E6158"/>
        </w:rPr>
        <w:t>offered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epicurean</w:t>
      </w:r>
      <w:r>
        <w:rPr>
          <w:color w:val="6E6158"/>
          <w:spacing w:val="28"/>
        </w:rPr>
        <w:t> </w:t>
      </w:r>
      <w:r>
        <w:rPr>
          <w:color w:val="6E6158"/>
        </w:rPr>
        <w:t>adventures</w:t>
      </w:r>
      <w:r>
        <w:rPr>
          <w:color w:val="6E6158"/>
          <w:spacing w:val="28"/>
        </w:rPr>
        <w:t> </w:t>
      </w:r>
      <w:r>
        <w:rPr>
          <w:color w:val="6E6158"/>
        </w:rPr>
        <w:t>–</w:t>
      </w:r>
      <w:r>
        <w:rPr>
          <w:color w:val="6E6158"/>
          <w:spacing w:val="28"/>
        </w:rPr>
        <w:t> </w:t>
      </w:r>
      <w:r>
        <w:rPr>
          <w:color w:val="6E6158"/>
        </w:rPr>
        <w:t>ask</w:t>
      </w:r>
      <w:r>
        <w:rPr>
          <w:color w:val="6E6158"/>
          <w:spacing w:val="28"/>
        </w:rPr>
        <w:t> </w:t>
      </w:r>
      <w:r>
        <w:rPr>
          <w:color w:val="6E6158"/>
        </w:rPr>
        <w:t>him</w:t>
      </w:r>
      <w:r>
        <w:rPr>
          <w:color w:val="6E6158"/>
          <w:spacing w:val="28"/>
        </w:rPr>
        <w:t> </w:t>
      </w:r>
      <w:r>
        <w:rPr>
          <w:color w:val="6E6158"/>
        </w:rPr>
        <w:t>about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go-to</w:t>
      </w:r>
      <w:r>
        <w:rPr>
          <w:color w:val="6E6158"/>
          <w:spacing w:val="28"/>
        </w:rPr>
        <w:t> </w:t>
      </w:r>
      <w:r>
        <w:rPr>
          <w:color w:val="6E6158"/>
        </w:rPr>
        <w:t>lasagna</w:t>
      </w:r>
      <w:r>
        <w:rPr>
          <w:color w:val="6E6158"/>
          <w:spacing w:val="28"/>
        </w:rPr>
        <w:t> </w:t>
      </w:r>
      <w:r>
        <w:rPr>
          <w:color w:val="6E6158"/>
        </w:rPr>
        <w:t>dish!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65681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71781pt;width:1.65pt;height:1.65pt;mso-position-horizontal-relative:page;mso-position-vertical-relative:paragraph;z-index:15729152" id="docshape13" coordorigin="1670,103" coordsize="33,33" path="m1691,136l1682,136,1678,134,1671,128,1670,124,1670,115,1671,111,1678,105,1682,103,1691,103,1694,105,1701,111,1702,115,1702,120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74"/>
        <w:ind w:right="68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169771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7819pt;width:1.65pt;height:1.65pt;mso-position-horizontal-relative:page;mso-position-vertical-relative:paragraph;z-index:15729664" id="docshape14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433304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8435pt;width:1.65pt;height:1.65pt;mso-position-horizontal-relative:page;mso-position-vertical-relative:paragraph;z-index:15730176" id="docshape1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Water 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right="476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688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1200" id="docshape1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Diego School of Law B.A., San Diego State University,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</w:p>
    <w:p>
      <w:pPr>
        <w:pStyle w:val="Heading1"/>
        <w:spacing w:before="17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152732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147pt;width:1.65pt;height:1.65pt;mso-position-horizontal-relative:page;mso-position-vertical-relative:paragraph;z-index:15731712" id="docshape18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74"/>
        <w:ind w:right="68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174993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05pt;width:1.65pt;height:1.65pt;mso-position-horizontal-relative:page;mso-position-vertical-relative:paragraph;z-index:15732224" id="docshape1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433359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799pt;width:1.65pt;height:1.65pt;mso-position-horizontal-relative:page;mso-position-vertical-relative:paragraph;z-index:15732736" id="docshape20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Water Law</w:t>
      </w:r>
    </w:p>
    <w:p>
      <w:pPr>
        <w:pStyle w:val="Heading1"/>
        <w:spacing w:before="16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34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152342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469pt;width:1.65pt;height:1.65pt;mso-position-horizontal-relative:page;mso-position-vertical-relative:paragraph;z-index:15733248" id="docshape21" coordorigin="1670,240" coordsize="33,33" path="m1691,272l1682,272,1678,271,1671,265,1670,261,1670,252,1671,248,1678,241,1682,240,1691,240,1694,241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415875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6078pt;width:1.65pt;height:1.65pt;mso-position-horizontal-relative:page;mso-position-vertical-relative:paragraph;z-index:15733760" id="docshape22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 Editor, California Land Use &amp; Policy Reporter</w:t>
      </w:r>
      <w:r>
        <w:rPr>
          <w:color w:val="6E6158"/>
          <w:spacing w:val="40"/>
        </w:rPr>
        <w:t> </w:t>
      </w:r>
      <w:r>
        <w:rPr>
          <w:color w:val="6E6158"/>
        </w:rPr>
        <w:t>Previous Member, City of Pleasant Hill Planning </w:t>
      </w:r>
      <w:r>
        <w:rPr>
          <w:color w:val="6E6158"/>
        </w:rPr>
        <w:t>Commission</w:t>
      </w:r>
    </w:p>
    <w:p>
      <w:pPr>
        <w:pStyle w:val="BodyText"/>
        <w:spacing w:line="292" w:lineRule="auto"/>
        <w:ind w:righ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151634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39751pt;width:1.65pt;height:1.65pt;mso-position-horizontal-relative:page;mso-position-vertical-relative:paragraph;z-index:15734272" id="docshape23" coordorigin="1670,239" coordsize="33,33" path="m1691,271l1682,271,1678,270,1671,263,1670,260,1670,251,1671,247,1678,240,1682,239,1691,239,1694,240,1701,247,1702,251,1702,255,1702,260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Previous Member, Contra Costa Solid Waste Local Enforcement Agency Independent </w:t>
      </w:r>
      <w:r>
        <w:rPr>
          <w:color w:val="6E6158"/>
        </w:rPr>
        <w:t>Hearing </w:t>
      </w:r>
      <w:r>
        <w:rPr>
          <w:color w:val="6E6158"/>
          <w:spacing w:val="-2"/>
        </w:rPr>
        <w:t>Panel</w:t>
      </w:r>
    </w:p>
    <w:p>
      <w:pPr>
        <w:pStyle w:val="Heading1"/>
        <w:spacing w:before="29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0" w:lineRule="auto" w:before="147"/>
        <w:ind w:right="39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349172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493896pt;width:1.65pt;height:1.65pt;mso-position-horizontal-relative:page;mso-position-vertical-relative:paragraph;z-index:15734784" id="docshape24" coordorigin="1670,550" coordsize="33,33" path="m1691,582l1682,582,1678,581,1671,574,1670,571,1670,562,1671,558,1678,551,1682,550,1691,550,1694,551,1701,558,1702,562,1702,566,1702,571,1701,574,1694,581,1691,5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 “Managing Flood Control and New Storage Plans – Capturing Flood Flows </w:t>
      </w:r>
      <w:r>
        <w:rPr>
          <w:color w:val="6E6158"/>
        </w:rPr>
        <w:t>Water—California’s Recent Legislative Efforts” September 30, 2024, California Water Law and Policy 38</w:t>
      </w:r>
      <w:r>
        <w:rPr>
          <w:color w:val="6E6158"/>
          <w:position w:val="7"/>
          <w:sz w:val="16"/>
        </w:rPr>
        <w:t>th </w:t>
      </w:r>
      <w:r>
        <w:rPr>
          <w:color w:val="6E6158"/>
        </w:rPr>
        <w:t>Annual Conference</w:t>
      </w:r>
    </w:p>
    <w:p>
      <w:pPr>
        <w:pStyle w:val="BodyText"/>
        <w:spacing w:line="292" w:lineRule="auto" w:before="205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370485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17211pt;width:1.65pt;height:1.65pt;mso-position-horizontal-relative:page;mso-position-vertical-relative:paragraph;z-index:15735296" id="docshape25" coordorigin="1670,583" coordsize="33,33" path="m1691,616l1682,616,1678,614,1671,608,1670,604,1670,595,1671,591,1678,585,1682,583,1691,583,1694,585,1701,591,1702,595,1702,600,1702,604,1701,608,1694,614,1691,6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“Recalibrating NEPA Compliance: The U.S. Supreme Court’s Clarification on the Purpose and Scope of Environmental Review,” July 2025, Western Water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302" w:lineRule="auto" w:before="124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324147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3445pt;width:1.65pt;height:1.65pt;mso-position-horizontal-relative:page;mso-position-vertical-relative:paragraph;z-index:15735808" id="docshape26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“Floodwater as Personal Property? Fifth District Court Clarifies </w:t>
      </w:r>
      <w:r>
        <w:rPr>
          <w:color w:val="6E6158"/>
        </w:rPr>
        <w:t>Groundwater Classification,” July 2025,</w:t>
      </w:r>
      <w:r>
        <w:rPr>
          <w:color w:val="6E6158"/>
          <w:spacing w:val="80"/>
        </w:rPr>
        <w:t> </w:t>
      </w:r>
      <w:r>
        <w:rPr>
          <w:color w:val="6E6158"/>
        </w:rPr>
        <w:t>California Water Law And Policy Reporter,</w:t>
      </w:r>
    </w:p>
    <w:p>
      <w:pPr>
        <w:pStyle w:val="BodyText"/>
        <w:spacing w:line="224" w:lineRule="exact"/>
      </w:pP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before="174"/>
      </w:pP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Finds</w:t>
      </w:r>
      <w:r>
        <w:rPr>
          <w:color w:val="6E6158"/>
          <w:spacing w:val="12"/>
        </w:rPr>
        <w:t> </w:t>
      </w:r>
      <w:r>
        <w:rPr>
          <w:color w:val="6E6158"/>
        </w:rPr>
        <w:t>Combined</w:t>
      </w:r>
      <w:r>
        <w:rPr>
          <w:color w:val="6E6158"/>
          <w:spacing w:val="12"/>
        </w:rPr>
        <w:t> </w:t>
      </w:r>
      <w:r>
        <w:rPr>
          <w:color w:val="6E6158"/>
        </w:rPr>
        <w:t>Wastewater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Stormwater</w:t>
      </w:r>
      <w:r>
        <w:rPr>
          <w:color w:val="6E6158"/>
          <w:spacing w:val="12"/>
        </w:rPr>
        <w:t> </w:t>
      </w:r>
      <w:r>
        <w:rPr>
          <w:color w:val="6E6158"/>
        </w:rPr>
        <w:t>System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  <w:spacing w:val="-10"/>
        </w:rPr>
        <w:t>a</w:t>
      </w:r>
    </w:p>
    <w:p>
      <w:pPr>
        <w:pStyle w:val="BodyText"/>
        <w:spacing w:line="302" w:lineRule="auto" w:before="5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97431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1758pt;width:1.65pt;height:1.65pt;mso-position-horizontal-relative:page;mso-position-vertical-relative:paragraph;z-index:15736320" id="docshape27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‘Sewer’ For Purposes of Proposition 218,” July 2025,</w:t>
      </w:r>
      <w:r>
        <w:rPr>
          <w:color w:val="6E6158"/>
          <w:spacing w:val="78"/>
        </w:rPr>
        <w:t> </w:t>
      </w:r>
      <w:r>
        <w:rPr>
          <w:color w:val="6E6158"/>
        </w:rPr>
        <w:t>California Water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316883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146pt;width:1.65pt;height:1.65pt;mso-position-horizontal-relative:page;mso-position-vertical-relative:paragraph;z-index:15736832" id="docshape28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“Recalibrating NEPA Compliance: The U.S. Supreme Court’s Clarification on the Purpose and Scope of Environmental Review,” July 2025,</w:t>
      </w:r>
      <w:r>
        <w:rPr>
          <w:color w:val="6E6158"/>
          <w:spacing w:val="40"/>
        </w:rPr>
        <w:t> </w:t>
      </w:r>
      <w:r>
        <w:rPr>
          <w:color w:val="6E6158"/>
        </w:rPr>
        <w:t>California Water Law And </w:t>
      </w:r>
      <w:r>
        <w:rPr>
          <w:color w:val="6E6158"/>
        </w:rPr>
        <w:t>Policy</w:t>
      </w:r>
      <w:r>
        <w:rPr>
          <w:color w:val="6E6158"/>
          <w:spacing w:val="40"/>
        </w:rPr>
        <w:t> </w:t>
      </w:r>
      <w:r>
        <w:rPr>
          <w:color w:val="6E6158"/>
        </w:rPr>
        <w:t>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32"/>
        <w:ind w:right="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329599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52681pt;width:1.65pt;height:1.65pt;mso-position-horizontal-relative:page;mso-position-vertical-relative:paragraph;z-index:15737344" id="docshape29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“Ninth Circuit Finds City’s Distance Requirement for Group-living Facilities </w:t>
      </w:r>
      <w:r>
        <w:rPr>
          <w:color w:val="6E6158"/>
        </w:rPr>
        <w:t>Survives Challenge that Regulation Discriminated Against Persons with Disabilities,” June 2025,</w:t>
      </w:r>
      <w:r>
        <w:rPr>
          <w:color w:val="6E6158"/>
          <w:spacing w:val="40"/>
        </w:rPr>
        <w:t> </w:t>
      </w:r>
      <w:r>
        <w:rPr>
          <w:color w:val="6E6158"/>
        </w:rPr>
        <w:t>California Land Use Law and Policy Reporter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324447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7077pt;width:1.65pt;height:1.65pt;mso-position-horizontal-relative:page;mso-position-vertical-relative:paragraph;z-index:15737856" id="docshape30" coordorigin="1670,511" coordsize="33,33" path="m1691,543l1682,543,1678,542,1671,536,1670,532,1670,523,1671,519,1678,513,1682,511,1691,511,1694,513,1701,519,1702,523,1702,527,1702,532,1701,536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“YIMBY Challenges City of Cupertino’s Alleged Violation of Builder’s </w:t>
      </w:r>
      <w:r>
        <w:rPr>
          <w:color w:val="6E6158"/>
        </w:rPr>
        <w:t>Remedy Project Processing,” June 2025,</w:t>
      </w:r>
      <w:r>
        <w:rPr>
          <w:color w:val="6E6158"/>
          <w:spacing w:val="80"/>
        </w:rPr>
        <w:t> </w:t>
      </w:r>
      <w:r>
        <w:rPr>
          <w:color w:val="6E6158"/>
        </w:rPr>
        <w:t>California Water Law And Policy Reporter,</w:t>
      </w:r>
    </w:p>
    <w:p>
      <w:pPr>
        <w:pStyle w:val="BodyText"/>
        <w:spacing w:before="2"/>
      </w:pP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302" w:lineRule="auto" w:before="174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267894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4019pt;width:1.65pt;height:1.65pt;mso-position-horizontal-relative:page;mso-position-vertical-relative:paragraph;z-index:15738368" id="docshape31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“Chowchilla Subbasin Potentially Avoids Probation Hearing,” June 2025,</w:t>
      </w:r>
      <w:r>
        <w:rPr>
          <w:color w:val="6E6158"/>
          <w:spacing w:val="40"/>
        </w:rPr>
        <w:t> </w:t>
      </w:r>
      <w:r>
        <w:rPr>
          <w:color w:val="6E6158"/>
        </w:rPr>
        <w:t>California Water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316863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49881pt;width:1.65pt;height:1.65pt;mso-position-horizontal-relative:page;mso-position-vertical-relative:paragraph;z-index:15738880" id="docshape32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“Fourth District Court Invalidates San Diego County’s CEQA Thresholds for Infill and Small Projects,” May 2025, California Land Use and Policy Reporter,</w:t>
      </w:r>
    </w:p>
    <w:p>
      <w:pPr>
        <w:pStyle w:val="BodyText"/>
        <w:spacing w:before="2"/>
      </w:pP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7" w:lineRule="auto" w:before="83"/>
        <w:ind w:right="2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9904" id="docshape33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“Housing Advocacy Group Sues City of Lafayette Alleging City’s Housing </w:t>
      </w:r>
      <w:r>
        <w:rPr>
          <w:color w:val="6E6158"/>
        </w:rPr>
        <w:t>Element Fails to Comply with State Housing Laws,” May 2025, California Land Use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320714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3136pt;width:1.65pt;height:1.65pt;mso-position-horizontal-relative:page;mso-position-vertical-relative:paragraph;z-index:15740416" id="docshape34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“Sixth District Court Upholds Santa Clara Groundwater Charges Under Proposition </w:t>
      </w:r>
      <w:r>
        <w:rPr>
          <w:color w:val="6E6158"/>
        </w:rPr>
        <w:t>26,” May 2025, California Land Use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324452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7417pt;width:1.65pt;height:1.65pt;mso-position-horizontal-relative:page;mso-position-vertical-relative:paragraph;z-index:15740928" id="docshape35" coordorigin="1670,511" coordsize="33,33" path="m1691,543l1682,543,1678,542,1671,536,1670,532,1670,523,1671,519,1678,513,1682,511,1691,511,1694,513,1701,519,1702,523,1702,527,1702,532,1701,536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“Sixth District Court Upholds Santa Clara Groundwater Charges Under Proposition </w:t>
      </w:r>
      <w:r>
        <w:rPr>
          <w:color w:val="6E6158"/>
        </w:rPr>
        <w:t>26,” May 2025, California Water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</w:t>
      </w:r>
      <w:r>
        <w:rPr>
          <w:color w:val="6E6158"/>
          <w:spacing w:val="-2"/>
        </w:rPr>
        <w:t>required)</w:t>
      </w:r>
    </w:p>
    <w:p>
      <w:pPr>
        <w:pStyle w:val="BodyText"/>
        <w:spacing w:line="302" w:lineRule="auto" w:before="124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324469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8761pt;width:1.65pt;height:1.65pt;mso-position-horizontal-relative:page;mso-position-vertical-relative:paragraph;z-index:15741440" id="docshape36" coordorigin="1670,511" coordsize="33,33" path="m1691,544l1682,544,1678,542,1671,536,1670,532,1670,523,1671,519,1678,513,1682,511,1691,511,1694,513,1701,519,1702,523,1702,527,1702,532,1701,536,1694,542,1691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Court of Appeal Upholds Santa Clara Groundwater Charges </w:t>
      </w:r>
      <w:r>
        <w:rPr>
          <w:color w:val="6E6158"/>
        </w:rPr>
        <w:t>Under Proposition 26,” May 2025, Western Water Law And Policy Reporter,</w:t>
      </w:r>
    </w:p>
    <w:p>
      <w:pPr>
        <w:pStyle w:val="BodyText"/>
        <w:spacing w:line="224" w:lineRule="exact"/>
      </w:pP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74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356169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44865pt;width:1.65pt;height:1.65pt;mso-position-horizontal-relative:page;mso-position-vertical-relative:paragraph;z-index:15741952" id="docshape37" coordorigin="1670,561" coordsize="33,33" path="m1691,593l1682,593,1678,592,1671,586,1670,582,1670,573,1671,569,1678,562,1682,561,1691,561,1694,562,1701,569,1702,573,1702,577,1702,582,1701,586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“Superior Court Analyzes the Housing Accountability Act and a Vesting Tentative Tract Map,” April 2025, California Land Use Law And Policy Reporter,</w:t>
      </w:r>
    </w:p>
    <w:p>
      <w:pPr>
        <w:pStyle w:val="BodyText"/>
        <w:spacing w:before="10"/>
      </w:pP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7" w:lineRule="auto" w:before="17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355708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08516pt;width:1.65pt;height:1.65pt;mso-position-horizontal-relative:page;mso-position-vertical-relative:paragraph;z-index:15742464" id="docshape38" coordorigin="1670,560" coordsize="33,33" path="m1691,593l1682,593,1678,591,1671,585,1670,581,1670,572,1671,568,1678,562,1682,560,1691,560,1694,562,1701,568,1702,572,1702,576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High Speed Rail Authority Inspector General Issues Report and Proposes Eddiciencies to Control Costs and Expedite Completion of the Project,” April 2025,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Land Use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9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320814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60983pt;width:1.65pt;height:1.65pt;mso-position-horizontal-relative:page;mso-position-vertical-relative:paragraph;z-index:15742976" id="docshape39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“Mendocino County Declines Proposed Groundwater Extraction Ordinance,” </w:t>
      </w:r>
      <w:r>
        <w:rPr>
          <w:color w:val="6E6158"/>
        </w:rPr>
        <w:t>April 2025, California Land Use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</w:t>
      </w:r>
      <w:r>
        <w:rPr>
          <w:color w:val="6E6158"/>
          <w:spacing w:val="-2"/>
        </w:rPr>
        <w:t>required)</w:t>
      </w:r>
    </w:p>
    <w:p>
      <w:pPr>
        <w:pStyle w:val="BodyText"/>
        <w:spacing w:before="132" w:after="7"/>
      </w:pPr>
      <w:r>
        <w:rPr>
          <w:color w:val="6E6158"/>
        </w:rPr>
        <w:t>Author,</w:t>
      </w:r>
      <w:r>
        <w:rPr>
          <w:color w:val="6E6158"/>
          <w:spacing w:val="16"/>
        </w:rPr>
        <w:t> </w:t>
      </w:r>
      <w:r>
        <w:rPr>
          <w:color w:val="6E6158"/>
        </w:rPr>
        <w:t>“Mendocino</w:t>
      </w:r>
      <w:r>
        <w:rPr>
          <w:color w:val="6E6158"/>
          <w:spacing w:val="17"/>
        </w:rPr>
        <w:t> </w:t>
      </w:r>
      <w:r>
        <w:rPr>
          <w:color w:val="6E6158"/>
        </w:rPr>
        <w:t>County</w:t>
      </w:r>
      <w:r>
        <w:rPr>
          <w:color w:val="6E6158"/>
          <w:spacing w:val="16"/>
        </w:rPr>
        <w:t> </w:t>
      </w:r>
      <w:r>
        <w:rPr>
          <w:color w:val="6E6158"/>
        </w:rPr>
        <w:t>Declines</w:t>
      </w:r>
      <w:r>
        <w:rPr>
          <w:color w:val="6E6158"/>
          <w:spacing w:val="17"/>
        </w:rPr>
        <w:t> </w:t>
      </w:r>
      <w:r>
        <w:rPr>
          <w:color w:val="6E6158"/>
        </w:rPr>
        <w:t>Proposed</w:t>
      </w:r>
      <w:r>
        <w:rPr>
          <w:color w:val="6E6158"/>
          <w:spacing w:val="16"/>
        </w:rPr>
        <w:t> </w:t>
      </w:r>
      <w:r>
        <w:rPr>
          <w:color w:val="6E6158"/>
        </w:rPr>
        <w:t>Groundwater</w:t>
      </w:r>
      <w:r>
        <w:rPr>
          <w:color w:val="6E6158"/>
          <w:spacing w:val="17"/>
        </w:rPr>
        <w:t> </w:t>
      </w:r>
      <w:r>
        <w:rPr>
          <w:color w:val="6E6158"/>
        </w:rPr>
        <w:t>Extraction</w:t>
      </w:r>
      <w:r>
        <w:rPr>
          <w:color w:val="6E6158"/>
          <w:spacing w:val="16"/>
        </w:rPr>
        <w:t> </w:t>
      </w:r>
      <w:r>
        <w:rPr>
          <w:color w:val="6E6158"/>
        </w:rPr>
        <w:t>Ordinance,”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April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0" coordorigin="0,0" coordsize="33,33">
                <v:shape style="position:absolute;left:0;top:0;width:33;height:33" id="docshape4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2025,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Reporter,</w:t>
      </w:r>
      <w:r>
        <w:rPr>
          <w:color w:val="6E6158"/>
          <w:spacing w:val="14"/>
        </w:rPr>
        <w:t>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16"/>
        </w:rPr>
        <w:t> </w:t>
      </w:r>
      <w:r>
        <w:rPr>
          <w:color w:val="6E6158"/>
        </w:rPr>
        <w:t>(subscription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7" w:lineRule="auto" w:before="173"/>
        <w:ind w:righ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355733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10544pt;width:1.65pt;height:1.65pt;mso-position-horizontal-relative:page;mso-position-vertical-relative:paragraph;z-index:15743488" id="docshape42" coordorigin="1670,560" coordsize="33,33" path="m1691,593l1682,593,1678,591,1671,585,1670,581,1670,572,1671,568,1678,562,1682,560,1691,560,1694,562,1701,568,1702,572,1702,576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March 2025,</w:t>
      </w:r>
      <w:r>
        <w:rPr>
          <w:color w:val="6E6158"/>
          <w:spacing w:val="80"/>
        </w:rPr>
        <w:t> </w:t>
      </w:r>
      <w:r>
        <w:rPr>
          <w:color w:val="6E6158"/>
        </w:rPr>
        <w:t>California Water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9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320837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62831pt;width:1.65pt;height:1.65pt;mso-position-horizontal-relative:page;mso-position-vertical-relative:paragraph;z-index:15744000" id="docshape43" coordorigin="1670,505" coordsize="33,33" path="m1691,538l1682,538,1678,536,1671,530,1670,526,1670,517,1671,513,1678,507,1682,505,1691,505,1694,507,1701,513,1702,517,1702,522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March 2025, Western Water Law And Policy</w:t>
      </w:r>
      <w:r>
        <w:rPr>
          <w:color w:val="6E6158"/>
          <w:spacing w:val="40"/>
        </w:rPr>
        <w:t> </w:t>
      </w:r>
      <w:r>
        <w:rPr>
          <w:color w:val="6E6158"/>
        </w:rPr>
        <w:t>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329109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14148pt;width:1.65pt;height:1.65pt;mso-position-horizontal-relative:page;mso-position-vertical-relative:paragraph;z-index:15744512" id="docshape44" coordorigin="1670,518" coordsize="33,33" path="m1691,551l1682,551,1678,549,1671,543,1670,539,1670,530,1671,526,1678,520,1682,518,1691,518,1694,520,1701,526,1702,530,1702,535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March 2025,</w:t>
      </w:r>
      <w:r>
        <w:rPr>
          <w:color w:val="6E6158"/>
          <w:spacing w:val="80"/>
        </w:rPr>
        <w:t> </w:t>
      </w:r>
      <w:r>
        <w:rPr>
          <w:color w:val="6E6158"/>
        </w:rPr>
        <w:t>California Land Use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before="132"/>
      </w:pPr>
      <w:r>
        <w:rPr>
          <w:color w:val="6E6158"/>
        </w:rPr>
        <w:t>Author,</w:t>
      </w:r>
      <w:r>
        <w:rPr>
          <w:color w:val="6E6158"/>
          <w:spacing w:val="13"/>
        </w:rPr>
        <w:t> </w:t>
      </w:r>
      <w:r>
        <w:rPr>
          <w:color w:val="6E6158"/>
        </w:rPr>
        <w:t>“Executive</w:t>
      </w:r>
      <w:r>
        <w:rPr>
          <w:color w:val="6E6158"/>
          <w:spacing w:val="13"/>
        </w:rPr>
        <w:t> </w:t>
      </w:r>
      <w:r>
        <w:rPr>
          <w:color w:val="6E6158"/>
        </w:rPr>
        <w:t>Orders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Governor</w:t>
      </w:r>
      <w:r>
        <w:rPr>
          <w:color w:val="6E6158"/>
          <w:spacing w:val="13"/>
        </w:rPr>
        <w:t> </w:t>
      </w:r>
      <w:r>
        <w:rPr>
          <w:color w:val="6E6158"/>
        </w:rPr>
        <w:t>Newsom</w:t>
      </w:r>
      <w:r>
        <w:rPr>
          <w:color w:val="6E6158"/>
          <w:spacing w:val="13"/>
        </w:rPr>
        <w:t> </w:t>
      </w:r>
      <w:r>
        <w:rPr>
          <w:color w:val="6E6158"/>
        </w:rPr>
        <w:t>Expedite</w:t>
      </w:r>
      <w:r>
        <w:rPr>
          <w:color w:val="6E6158"/>
          <w:spacing w:val="13"/>
        </w:rPr>
        <w:t> </w:t>
      </w:r>
      <w:r>
        <w:rPr>
          <w:color w:val="6E6158"/>
        </w:rPr>
        <w:t>Rebuilding</w:t>
      </w:r>
      <w:r>
        <w:rPr>
          <w:color w:val="6E6158"/>
          <w:spacing w:val="14"/>
        </w:rPr>
        <w:t> </w:t>
      </w:r>
      <w:r>
        <w:rPr>
          <w:color w:val="6E6158"/>
        </w:rPr>
        <w:t>Efforts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Following</w:t>
      </w:r>
    </w:p>
    <w:p>
      <w:pPr>
        <w:pStyle w:val="BodyText"/>
        <w:spacing w:line="292" w:lineRule="auto" w:before="51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92213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260912pt;width:1.65pt;height:1.65pt;mso-position-horizontal-relative:page;mso-position-vertical-relative:paragraph;z-index:15745024" id="docshape45" coordorigin="1670,145" coordsize="33,33" path="m1691,178l1682,178,1678,176,1671,170,1670,166,1670,157,1671,153,1678,147,1682,145,1691,145,1694,147,1701,153,1702,157,1702,161,1702,166,1701,170,1694,176,1691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Wildfires by Relaxing CEQA and Coastal Act Requirements,” March 2025,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Land Use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24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324132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2263pt;width:1.65pt;height:1.65pt;mso-position-horizontal-relative:page;mso-position-vertical-relative:paragraph;z-index:15745536" id="docshape46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“California Supreme Court Addresses When the Conveyance of Land </w:t>
      </w:r>
      <w:r>
        <w:rPr>
          <w:color w:val="6E6158"/>
        </w:rPr>
        <w:t>Actually Amounts to a Subdivision,” March 2025, California Land Use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before="118"/>
      </w:pPr>
      <w:r>
        <w:rPr>
          <w:color w:val="6E6158"/>
        </w:rPr>
        <w:t>Author,</w:t>
      </w:r>
      <w:r>
        <w:rPr>
          <w:color w:val="6E6158"/>
          <w:spacing w:val="13"/>
        </w:rPr>
        <w:t> </w:t>
      </w:r>
      <w:r>
        <w:rPr>
          <w:color w:val="6E6158"/>
        </w:rPr>
        <w:t>“Executive</w:t>
      </w:r>
      <w:r>
        <w:rPr>
          <w:color w:val="6E6158"/>
          <w:spacing w:val="13"/>
        </w:rPr>
        <w:t> </w:t>
      </w:r>
      <w:r>
        <w:rPr>
          <w:color w:val="6E6158"/>
        </w:rPr>
        <w:t>Orders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Governor</w:t>
      </w:r>
      <w:r>
        <w:rPr>
          <w:color w:val="6E6158"/>
          <w:spacing w:val="13"/>
        </w:rPr>
        <w:t> </w:t>
      </w:r>
      <w:r>
        <w:rPr>
          <w:color w:val="6E6158"/>
        </w:rPr>
        <w:t>Newsom</w:t>
      </w:r>
      <w:r>
        <w:rPr>
          <w:color w:val="6E6158"/>
          <w:spacing w:val="13"/>
        </w:rPr>
        <w:t> </w:t>
      </w:r>
      <w:r>
        <w:rPr>
          <w:color w:val="6E6158"/>
        </w:rPr>
        <w:t>Expedite</w:t>
      </w:r>
      <w:r>
        <w:rPr>
          <w:color w:val="6E6158"/>
          <w:spacing w:val="13"/>
        </w:rPr>
        <w:t> </w:t>
      </w:r>
      <w:r>
        <w:rPr>
          <w:color w:val="6E6158"/>
        </w:rPr>
        <w:t>Rebuilding</w:t>
      </w:r>
      <w:r>
        <w:rPr>
          <w:color w:val="6E6158"/>
          <w:spacing w:val="14"/>
        </w:rPr>
        <w:t> </w:t>
      </w:r>
      <w:r>
        <w:rPr>
          <w:color w:val="6E6158"/>
        </w:rPr>
        <w:t>Efforts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Following</w:t>
      </w:r>
    </w:p>
    <w:p>
      <w:pPr>
        <w:pStyle w:val="BodyText"/>
        <w:spacing w:line="302" w:lineRule="auto" w:before="5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97498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7036pt;width:1.65pt;height:1.65pt;mso-position-horizontal-relative:page;mso-position-vertical-relative:paragraph;z-index:15746048" id="docshape47" coordorigin="1670,154" coordsize="33,33" path="m1691,186l1682,186,1678,185,1671,178,1670,174,1670,165,1671,161,1678,155,1682,154,1691,154,1694,155,1701,161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Wildfires by Relaxing CEQA and Coastal Act Requirements,” March 2025,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Water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316950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6738pt;width:1.65pt;height:1.65pt;mso-position-horizontal-relative:page;mso-position-vertical-relative:paragraph;z-index:15746560" id="docshape48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“California Expands Efforts to Capture Excess Flood Flows for Groundwater Recharge Via Governor Newsom’s Executive Order N-16-25,” March 2025, California Water</w:t>
      </w:r>
      <w:r>
        <w:rPr>
          <w:color w:val="6E6158"/>
          <w:spacing w:val="40"/>
        </w:rPr>
        <w:t> </w:t>
      </w:r>
      <w:r>
        <w:rPr>
          <w:color w:val="6E6158"/>
        </w:rPr>
        <w:t>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578pt;width:1.65pt;height:1.65pt;mso-position-horizontal-relative:page;mso-position-vertical-relative:paragraph;z-index:15747072" id="docshape49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“Fourth District Court Affirms Upland Park Project Amid CEQA Challenges,” February 2025, California Land Use Law and Policy Reporter, </w:t>
      </w:r>
      <w:hyperlink r:id="rId11">
        <w:r>
          <w:rPr>
            <w:color w:val="F5821F"/>
            <w:u w:val="single" w:color="6E6158"/>
          </w:rPr>
          <w:t>https://argentco.com/</w:t>
        </w:r>
      </w:hyperlink>
      <w:r>
        <w:rPr>
          <w:color w:val="F5821F"/>
          <w:u w:val="none"/>
        </w:rPr>
        <w:t> </w:t>
      </w:r>
      <w:r>
        <w:rPr>
          <w:color w:val="6E6158"/>
          <w:u w:val="none"/>
        </w:rPr>
        <w:t>(subscription </w:t>
      </w:r>
      <w:r>
        <w:rPr>
          <w:color w:val="6E6158"/>
          <w:spacing w:val="-2"/>
          <w:u w:val="none"/>
        </w:rPr>
        <w:t>required)</w:t>
      </w:r>
    </w:p>
    <w:p>
      <w:pPr>
        <w:pStyle w:val="BodyText"/>
        <w:spacing w:line="292" w:lineRule="auto" w:before="118"/>
        <w:ind w:right="339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320713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304pt;width:1.65pt;height:1.65pt;mso-position-horizontal-relative:page;mso-position-vertical-relative:paragraph;z-index:15747584" id="docshape50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“Superior Court Orders Sonoma County To Cease Issuing Well Permits Except for Emergency Permits” February 2025, California Water Law And Policy Reporter,</w:t>
      </w:r>
    </w:p>
    <w:p>
      <w:pPr>
        <w:pStyle w:val="BodyText"/>
        <w:spacing w:before="2"/>
      </w:pP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82"/>
        <w:ind w:right="331" w:firstLine="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355724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09823pt;width:1.65pt;height:1.65pt;mso-position-horizontal-relative:page;mso-position-vertical-relative:paragraph;z-index:15748096" id="docshape51" coordorigin="1670,560" coordsize="33,33" path="m1691,593l1682,593,1678,591,1671,585,1670,581,1670,572,1671,568,1678,562,1682,560,1691,560,1694,562,1701,568,1702,572,1702,576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“First District Court Addresses the Government Claims Act and the Discovery Rule in the Context of a Development Project with Bond Finanacing” January 2025, California </w:t>
      </w:r>
      <w:r>
        <w:rPr>
          <w:color w:val="6E6158"/>
        </w:rPr>
        <w:t>Land Use Law and Policy Reporter, </w:t>
      </w:r>
      <w:hyperlink r:id="rId11">
        <w:r>
          <w:rPr>
            <w:color w:val="F5821F"/>
            <w:u w:val="single" w:color="6E6158"/>
          </w:rPr>
          <w:t>https://argentco.com/</w:t>
        </w:r>
      </w:hyperlink>
      <w:r>
        <w:rPr>
          <w:color w:val="F5821F"/>
          <w:u w:val="none"/>
        </w:rPr>
        <w:t> </w:t>
      </w:r>
      <w:r>
        <w:rPr>
          <w:color w:val="6E6158"/>
          <w:u w:val="none"/>
        </w:rPr>
        <w:t>(subscription required)</w:t>
      </w:r>
    </w:p>
    <w:p>
      <w:pPr>
        <w:pStyle w:val="BodyText"/>
        <w:spacing w:line="295" w:lineRule="auto" w:before="124"/>
        <w:ind w:right="339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417002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4831pt;width:1.65pt;height:1.65pt;mso-position-horizontal-relative:page;mso-position-vertical-relative:paragraph;z-index:15748608" id="docshape52" coordorigin="1670,657" coordsize="33,33" path="m1691,689l1682,689,1678,688,1671,681,1670,677,1670,668,1671,665,1678,658,1682,657,1691,657,1694,658,1701,665,1702,668,1702,673,1702,677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“State Water Project Allocations Started at 5 Percent, Then Jump to 15 Percent After Late November Atmospheric Rivers Marking A Wetter Year Than Initially Forecasted” January 2025, California Water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</w:t>
      </w:r>
      <w:r>
        <w:rPr>
          <w:color w:val="6E6158"/>
          <w:spacing w:val="-2"/>
        </w:rPr>
        <w:t>required)</w:t>
      </w:r>
    </w:p>
    <w:p>
      <w:pPr>
        <w:pStyle w:val="BodyText"/>
        <w:spacing w:line="297" w:lineRule="auto" w:before="12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323556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6868pt;width:1.65pt;height:1.65pt;mso-position-horizontal-relative:page;mso-position-vertical-relative:paragraph;z-index:15749120" id="docshape53" coordorigin="1670,510" coordsize="33,33" path="m1691,542l1682,542,1678,540,1671,534,1670,530,1670,521,1671,517,1678,511,1682,510,1691,510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“Bay Conservation and Development Commission Publishes Regional Shoreline Adaptation Plan Implementation,” January 2025, California Water Law And Policy </w:t>
      </w:r>
      <w:r>
        <w:rPr>
          <w:color w:val="6E6158"/>
        </w:rPr>
        <w:t>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320412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29338pt;width:1.65pt;height:1.65pt;mso-position-horizontal-relative:page;mso-position-vertical-relative:paragraph;z-index:15749632" id="docshape54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“Bay Conservation and Development Commission Publishes Regional Shoreline Adaptation Plan Implementation,” January 2025, Western Water Law And Policy </w:t>
      </w:r>
      <w:r>
        <w:rPr>
          <w:color w:val="6E6158"/>
        </w:rPr>
        <w:t>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18"/>
        <w:ind w:right="2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320443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1808pt;width:1.65pt;height:1.65pt;mso-position-horizontal-relative:page;mso-position-vertical-relative:paragraph;z-index:15750144" id="docshape55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“Lawsuit Filed by California Attorney General Takes Aim at Defiant City and Alleged Non-Compliance with “Housing Element” Law, December 2024, California Land Use Law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Policy Reporter, </w:t>
      </w:r>
      <w:hyperlink r:id="rId11">
        <w:r>
          <w:rPr>
            <w:color w:val="F5821F"/>
            <w:u w:val="single" w:color="6E6158"/>
          </w:rPr>
          <w:t>https://argentco.com/</w:t>
        </w:r>
      </w:hyperlink>
      <w:r>
        <w:rPr>
          <w:color w:val="F5821F"/>
          <w:u w:val="none"/>
        </w:rPr>
        <w:t> </w:t>
      </w:r>
      <w:r>
        <w:rPr>
          <w:color w:val="6E6158"/>
          <w:u w:val="none"/>
        </w:rPr>
        <w:t>(subscription required)</w:t>
      </w:r>
    </w:p>
    <w:p>
      <w:pPr>
        <w:pStyle w:val="BodyText"/>
        <w:spacing w:line="292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227462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0408pt;width:1.65pt;height:1.65pt;mso-position-horizontal-relative:page;mso-position-vertical-relative:paragraph;z-index:15750656" id="docshape56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Bill Could Transform Prime Agricultural Land Into Solar Farms,” July 2024, California Water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40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23"/>
        <w:ind w:right="358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323825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8066pt;width:1.65pt;height:1.65pt;mso-position-horizontal-relative:page;mso-position-vertical-relative:paragraph;z-index:15751168" id="docshape57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Flood Flows – New Legislative Attempts to Capture Precipitation under New Water Code 1242 After Another Wet Water Year,” June 2024, California Water Law And 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320681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0546pt;width:1.65pt;height:1.65pt;mso-position-horizontal-relative:page;mso-position-vertical-relative:paragraph;z-index:15751680" id="docshape58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State Board Hosts Workshop On Revised Draft Proposed Regulation For ‘Making Conservation A California Way Of Life,’” May 2024, California Water Law And </w:t>
      </w:r>
      <w:r>
        <w:rPr>
          <w:color w:val="6E6158"/>
        </w:rPr>
        <w:t>Policy Reporter,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320713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3pt;width:1.65pt;height:1.65pt;mso-position-horizontal-relative:page;mso-position-vertical-relative:paragraph;z-index:15752192" id="docshape59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Department Of Water Resources Releases Draft California Water </w:t>
      </w:r>
      <w:r>
        <w:rPr>
          <w:color w:val="6E6158"/>
        </w:rPr>
        <w:t>Plan Update 2023,” November 2023, California Water Law And Policy Reporter,</w:t>
      </w:r>
    </w:p>
    <w:p>
      <w:pPr>
        <w:pStyle w:val="BodyText"/>
        <w:spacing w:before="10"/>
      </w:pP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74"/>
        <w:ind w:right="32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355811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16668pt;width:1.65pt;height:1.65pt;mso-position-horizontal-relative:page;mso-position-vertical-relative:paragraph;z-index:15752704" id="docshape60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“Federal Open Access Evapotranspiration Data Act in Congress Proposes </w:t>
      </w:r>
      <w:r>
        <w:rPr>
          <w:color w:val="6E6158"/>
        </w:rPr>
        <w:t>Significant Updates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Water</w:t>
      </w:r>
      <w:r>
        <w:rPr>
          <w:color w:val="6E6158"/>
          <w:spacing w:val="30"/>
        </w:rPr>
        <w:t> </w:t>
      </w:r>
      <w:r>
        <w:rPr>
          <w:color w:val="6E6158"/>
        </w:rPr>
        <w:t>Measurement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Management,”</w:t>
      </w:r>
      <w:r>
        <w:rPr>
          <w:color w:val="6E6158"/>
          <w:spacing w:val="30"/>
        </w:rPr>
        <w:t> </w:t>
      </w:r>
      <w:r>
        <w:rPr>
          <w:color w:val="6E6158"/>
        </w:rPr>
        <w:t>July</w:t>
      </w:r>
      <w:r>
        <w:rPr>
          <w:color w:val="6E6158"/>
          <w:spacing w:val="30"/>
        </w:rPr>
        <w:t> </w:t>
      </w:r>
      <w:r>
        <w:rPr>
          <w:color w:val="6E6158"/>
        </w:rPr>
        <w:t>2023,</w:t>
      </w:r>
      <w:r>
        <w:rPr>
          <w:color w:val="6E6158"/>
          <w:spacing w:val="80"/>
        </w:rPr>
        <w:t> </w:t>
      </w:r>
      <w:r>
        <w:rPr>
          <w:color w:val="6E6158"/>
        </w:rPr>
        <w:t>California</w:t>
      </w:r>
      <w:r>
        <w:rPr>
          <w:color w:val="6E6158"/>
          <w:spacing w:val="30"/>
        </w:rPr>
        <w:t> </w:t>
      </w:r>
      <w:r>
        <w:rPr>
          <w:color w:val="6E6158"/>
        </w:rPr>
        <w:t>Water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</w:pPr>
      <w:r>
        <w:rPr>
          <w:color w:val="6E6158"/>
        </w:rPr>
        <w:t>Policy,</w:t>
      </w:r>
      <w:r>
        <w:rPr>
          <w:color w:val="6E6158"/>
          <w:spacing w:val="26"/>
        </w:rPr>
        <w:t> </w:t>
      </w: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28"/>
        </w:rPr>
        <w:t> </w:t>
      </w:r>
      <w:r>
        <w:rPr>
          <w:color w:val="6E6158"/>
        </w:rPr>
        <w:t>(subscription</w:t>
      </w:r>
      <w:r>
        <w:rPr>
          <w:color w:val="6E6158"/>
          <w:spacing w:val="26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82"/>
        <w:ind w:right="29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355899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3609pt;width:1.65pt;height:1.65pt;mso-position-horizontal-relative:page;mso-position-vertical-relative:paragraph;z-index:15753216" id="docshape61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Legislature Introduces Bills Impacting The Elevated Status Of Pre-1914 And Riparian Water Rights,” March 2023, California Water Law And Policy Reporter,</w:t>
      </w:r>
    </w:p>
    <w:p>
      <w:pPr>
        <w:pStyle w:val="BodyText"/>
        <w:spacing w:before="1"/>
      </w:pP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302" w:lineRule="auto" w:before="174"/>
        <w:ind w:right="1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268229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0455pt;width:1.65pt;height:1.65pt;mso-position-horizontal-relative:page;mso-position-vertical-relative:paragraph;z-index:15753728" id="docshape62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Bar Association, Water Resources Newsletter, Mexican Sewage in American </w:t>
      </w:r>
      <w:r>
        <w:rPr>
          <w:color w:val="6E6158"/>
        </w:rPr>
        <w:t>Waters: Who Is Responsible for Fixing the Sewage Crisis?</w:t>
      </w:r>
    </w:p>
    <w:p>
      <w:pPr>
        <w:pStyle w:val="Heading1"/>
        <w:spacing w:before="15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1" w:right="254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256021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59136pt;width:1.65pt;height:1.65pt;mso-position-horizontal-relative:page;mso-position-vertical-relative:paragraph;z-index:15754240" id="docshape63" coordorigin="1670,403" coordsize="33,33" path="m1691,436l1682,436,1678,434,1671,428,1670,424,1670,415,1671,411,1678,405,1682,403,1691,403,1694,405,1701,411,1702,415,1702,419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Land Use and Zoning Law, Natural Resources Law, </w:t>
      </w:r>
      <w:r>
        <w:rPr>
          <w:color w:val="6E6158"/>
          <w:spacing w:val="-4"/>
          <w:sz w:val="19"/>
        </w:rPr>
        <w:t>2026</w:t>
      </w:r>
    </w:p>
    <w:p>
      <w:pPr>
        <w:spacing w:after="0" w:line="288" w:lineRule="auto"/>
        <w:jc w:val="both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4752" id="docshape6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Awards (Highest Grade) at the University of San Diego School of Law in Ocean, Coast Law and Animal Law Classes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55264" id="docshape6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Donald Weckstein Scholarship, awarded annually to law students based on their contribution</w:t>
      </w:r>
      <w:r>
        <w:rPr>
          <w:color w:val="6E6158"/>
          <w:spacing w:val="40"/>
        </w:rPr>
        <w:t> </w:t>
      </w:r>
      <w:r>
        <w:rPr>
          <w:color w:val="6E6158"/>
        </w:rPr>
        <w:t>to the University of San Diego School of Law</w:t>
      </w:r>
    </w:p>
    <w:p>
      <w:pPr>
        <w:pStyle w:val="Heading1"/>
        <w:spacing w:before="162"/>
      </w:pPr>
      <w:r>
        <w:rPr>
          <w:color w:val="FF8100"/>
          <w:spacing w:val="-2"/>
        </w:rPr>
        <w:t>ADMISSIONS</w:t>
      </w:r>
    </w:p>
    <w:p>
      <w:pPr>
        <w:pStyle w:val="BodyText"/>
        <w:spacing w:line="292" w:lineRule="auto" w:before="147"/>
        <w:ind w:left="99" w:right="236"/>
      </w:pPr>
      <w:r>
        <w:rPr>
          <w:color w:val="6E6158"/>
        </w:rPr>
        <w:t>Co-Author, “YIMBY Challenges City of Cupertino’s Alleged Violation of Builder’s Remedy Project</w:t>
      </w:r>
      <w:r>
        <w:rPr>
          <w:color w:val="6E6158"/>
          <w:spacing w:val="40"/>
        </w:rPr>
        <w:t> </w:t>
      </w:r>
      <w:r>
        <w:rPr>
          <w:color w:val="6E6158"/>
        </w:rPr>
        <w:t>Processing,” June 2025,</w:t>
      </w:r>
      <w:r>
        <w:rPr>
          <w:color w:val="6E6158"/>
          <w:spacing w:val="40"/>
        </w:rPr>
        <w:t> </w:t>
      </w:r>
      <w:r>
        <w:rPr>
          <w:color w:val="6E6158"/>
        </w:rPr>
        <w:t>California Water Law And Policy Reporter,</w:t>
      </w:r>
    </w:p>
    <w:p>
      <w:pPr>
        <w:pStyle w:val="BodyText"/>
        <w:spacing w:before="9"/>
        <w:ind w:left="99"/>
      </w:pPr>
      <w:hyperlink r:id="rId11">
        <w:r>
          <w:rPr>
            <w:color w:val="6E6158"/>
          </w:rPr>
          <w:t>https://argentco.com/</w:t>
        </w:r>
      </w:hyperlink>
      <w:r>
        <w:rPr>
          <w:color w:val="6E6158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245822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6115pt;width:1.65pt;height:1.65pt;mso-position-horizontal-relative:page;mso-position-vertical-relative:paragraph;z-index:15755776" id="docshape66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“YIMBY Challenges City of Cupertino’s Alleged Violation of Builder’s </w:t>
      </w:r>
      <w:r>
        <w:rPr>
          <w:color w:val="6E6158"/>
        </w:rPr>
        <w:t>Remedy Project Processing,” June 2025,</w:t>
      </w:r>
      <w:r>
        <w:rPr>
          <w:color w:val="6E6158"/>
          <w:spacing w:val="80"/>
        </w:rPr>
        <w:t> </w:t>
      </w:r>
      <w:r>
        <w:rPr>
          <w:color w:val="6E6158"/>
        </w:rPr>
        <w:t>California Water Law And Policy Reporter,</w:t>
      </w:r>
    </w:p>
    <w:p>
      <w:pPr>
        <w:pStyle w:val="BodyText"/>
        <w:spacing w:before="2"/>
      </w:pPr>
      <w:hyperlink r:id="rId11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before="22"/>
        <w:ind w:left="0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59520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86641pt;width:1.65pt;height:1.65pt;mso-position-horizontal-relative:page;mso-position-vertical-relative:paragraph;z-index:15756288" id="docshape67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key@fennemorelaw.com" TargetMode="External"/><Relationship Id="rId11" Type="http://schemas.openxmlformats.org/officeDocument/2006/relationships/hyperlink" Target="https://argentco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Darien Key - Fennemore</dc:title>
  <dcterms:created xsi:type="dcterms:W3CDTF">2025-11-21T19:34:13Z</dcterms:created>
  <dcterms:modified xsi:type="dcterms:W3CDTF">2025-11-21T19:34:13Z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2025-11-21T00:00:00Z</vt:filetime>
  </property>
  <property fmtid="{D5CDD505-2E9C-101B-9397-08002B2CF9AE}" pid="5" name="Producer">
    <vt:lpwstr>Skia/PDF m142</vt:lpwstr>
  </property>
</Properties>
</file>