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spacing w:line="295" w:lineRule="auto"/>
        <w:ind w:left="99"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-5030045</wp:posOffset>
                </wp:positionV>
                <wp:extent cx="6071870" cy="49383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38395"/>
                          <a:chExt cx="6071870" cy="4938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3920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erek Hoffm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34435" y="1369338"/>
                            <a:ext cx="203644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6445" h="320675">
                                <a:moveTo>
                                  <a:pt x="20359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35924" y="320382"/>
                                </a:lnTo>
                                <a:lnTo>
                                  <a:pt x="2035924" y="315214"/>
                                </a:lnTo>
                                <a:close/>
                              </a:path>
                              <a:path w="2036445" h="320675">
                                <a:moveTo>
                                  <a:pt x="2035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35924" y="5168"/>
                                </a:lnTo>
                                <a:lnTo>
                                  <a:pt x="203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35329" y="763308"/>
                            <a:ext cx="204978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DEREK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HOFFMAN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Water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 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73815" y="1859626"/>
                            <a:ext cx="772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Bernardino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02827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0351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94234" y="2329852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602827" y="2490008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30351" y="2490008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63983" y="2701898"/>
                            <a:ext cx="1592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dhoffman@fennemorelaw.com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69929" y="378738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82740" y="3957555"/>
                            <a:ext cx="332232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conceive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believe,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Napoleon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9182" y="4749970"/>
                            <a:ext cx="12655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DEREK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HOFFMAN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857434" y="378738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066589pt;width:478.1pt;height:388.85pt;mso-position-horizontal-relative:page;mso-position-vertical-relative:paragraph;z-index:15728640" id="docshapegroup1" coordorigin="1336,-7921" coordsize="9562,7777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22;width:2165;height:424" type="#_x0000_t75" id="docshape3" alt="Fennemore" href="https://www.fennemorelaw.com/" stroked="false">
                  <v:imagedata r:id="rId5" o:title=""/>
                </v:shape>
                <v:shape style="position:absolute;left:1336;top:-7499;width:4785;height:4875" type="#_x0000_t75" id="docshape4" alt="Derek Hoffman" stroked="false">
                  <v:imagedata r:id="rId7" o:title=""/>
                </v:shape>
                <v:rect style="position:absolute;left:6121;top:-7499;width:4777;height:4875" id="docshape5" filled="true" fillcolor="#262424" stroked="false">
                  <v:fill type="solid"/>
                </v:rect>
                <v:shape style="position:absolute;left:6902;top:-5765;width:3207;height:505" id="docshape6" coordorigin="6902,-5765" coordsize="3207,505" path="m10108,-5268l6902,-5268,6902,-5260,10108,-5260,10108,-5268xm10108,-5765l6902,-5765,6902,-5757,10108,-5757,10108,-576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03;top:-6720;width:3228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DEREK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HOFFMAN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Water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 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09;top:-4993;width:121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Bernardino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09;top:-4741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785;top:-4741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256;top:-4253;width:52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09;top:-4001;width:1258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559.446.3224</w:t>
                        </w:r>
                      </w:p>
                    </w:txbxContent>
                  </v:textbox>
                  <w10:wrap type="none"/>
                </v:shape>
                <v:shape style="position:absolute;left:8785;top:-4001;width:1240;height:210" type="#_x0000_t202" id="docshape1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63;top:-3667;width:2508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dhoffman@fennemorelaw.com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7;width:752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13;top:-1689;width:5232;height:485" type="#_x0000_t202" id="docshape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conceive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believe,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Napoleon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Hill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993;height:296" type="#_x0000_t202" id="docshape1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DEREK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HOFFMAN</w:t>
                        </w:r>
                      </w:p>
                    </w:txbxContent>
                  </v:textbox>
                  <w10:wrap type="none"/>
                </v:shape>
                <v:shape style="position:absolute;left:8985;top:-1957;width:725;height:1786" type="#_x0000_t202" id="docshape18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Derek Hoffman is a seasoned water resources attorney and a director in our Natural Resources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28"/>
        </w:rPr>
        <w:t> </w:t>
      </w:r>
      <w:r>
        <w:rPr>
          <w:color w:val="6E6158"/>
        </w:rPr>
        <w:t>group.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represented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some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largest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most</w:t>
      </w:r>
      <w:r>
        <w:rPr>
          <w:color w:val="6E6158"/>
          <w:spacing w:val="28"/>
        </w:rPr>
        <w:t> </w:t>
      </w:r>
      <w:r>
        <w:rPr>
          <w:color w:val="6E6158"/>
        </w:rPr>
        <w:t>complex groundwater basin adjudications in California, including the Antelope Valley, Mojave Basin </w:t>
      </w:r>
      <w:r>
        <w:rPr>
          <w:color w:val="6E6158"/>
        </w:rPr>
        <w:t>Area,</w:t>
      </w:r>
      <w:r>
        <w:rPr>
          <w:color w:val="6E6158"/>
          <w:spacing w:val="40"/>
        </w:rPr>
        <w:t> </w:t>
      </w:r>
      <w:r>
        <w:rPr>
          <w:color w:val="6E6158"/>
        </w:rPr>
        <w:t>and the Indian Wells Valley. His practice includes guiding clients through the implementation of California’s Sustainable Groundwater Management Act (SGMA), and other state and federal</w:t>
      </w:r>
      <w:r>
        <w:rPr>
          <w:color w:val="6E6158"/>
          <w:spacing w:val="40"/>
        </w:rPr>
        <w:t> </w:t>
      </w:r>
      <w:r>
        <w:rPr>
          <w:color w:val="6E6158"/>
        </w:rPr>
        <w:t>natural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laws.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assists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developing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implementing</w:t>
      </w:r>
      <w:r>
        <w:rPr>
          <w:color w:val="6E6158"/>
          <w:spacing w:val="32"/>
        </w:rPr>
        <w:t> </w:t>
      </w:r>
      <w:r>
        <w:rPr>
          <w:color w:val="6E6158"/>
        </w:rPr>
        <w:t>effective</w:t>
      </w:r>
      <w:r>
        <w:rPr>
          <w:color w:val="6E6158"/>
          <w:spacing w:val="32"/>
        </w:rPr>
        <w:t> </w:t>
      </w:r>
      <w:r>
        <w:rPr>
          <w:color w:val="6E6158"/>
        </w:rPr>
        <w:t>strategies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</w:p>
    <w:p>
      <w:pPr>
        <w:pStyle w:val="BodyText"/>
        <w:spacing w:line="292" w:lineRule="auto" w:before="6"/>
        <w:ind w:left="99" w:right="50"/>
      </w:pPr>
      <w:r>
        <w:rPr>
          <w:color w:val="6E6158"/>
        </w:rPr>
        <w:t>obtain, maintain, protect and transfer water rights and supplies. He also practices in the areas of</w:t>
      </w:r>
      <w:r>
        <w:rPr>
          <w:color w:val="6E6158"/>
          <w:spacing w:val="40"/>
        </w:rPr>
        <w:t> </w:t>
      </w:r>
      <w:r>
        <w:rPr>
          <w:color w:val="6E6158"/>
        </w:rPr>
        <w:t>business and real estate.</w:t>
      </w:r>
    </w:p>
    <w:p>
      <w:pPr>
        <w:pStyle w:val="BodyText"/>
        <w:spacing w:line="297" w:lineRule="auto" w:before="197"/>
        <w:ind w:left="99" w:right="50"/>
      </w:pPr>
      <w:r>
        <w:rPr>
          <w:color w:val="6E6158"/>
        </w:rPr>
        <w:t>He enjoys the complex and ever-changing nature of water law, including its deep-rooted role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California’s history and its future. He finds creative and pragmatic solutions for his clients’ water</w:t>
      </w:r>
      <w:r>
        <w:rPr>
          <w:color w:val="6E6158"/>
          <w:spacing w:val="40"/>
        </w:rPr>
        <w:t> </w:t>
      </w:r>
      <w:r>
        <w:rPr>
          <w:color w:val="6E6158"/>
        </w:rPr>
        <w:t>supply</w:t>
      </w:r>
      <w:r>
        <w:rPr>
          <w:color w:val="6E6158"/>
          <w:spacing w:val="34"/>
        </w:rPr>
        <w:t> </w:t>
      </w:r>
      <w:r>
        <w:rPr>
          <w:color w:val="6E6158"/>
        </w:rPr>
        <w:t>needs,</w:t>
      </w:r>
      <w:r>
        <w:rPr>
          <w:color w:val="6E6158"/>
          <w:spacing w:val="34"/>
        </w:rPr>
        <w:t> </w:t>
      </w:r>
      <w:r>
        <w:rPr>
          <w:color w:val="6E6158"/>
        </w:rPr>
        <w:t>which</w:t>
      </w:r>
      <w:r>
        <w:rPr>
          <w:color w:val="6E6158"/>
          <w:spacing w:val="34"/>
        </w:rPr>
        <w:t> </w:t>
      </w:r>
      <w:r>
        <w:rPr>
          <w:color w:val="6E6158"/>
        </w:rPr>
        <w:t>often</w:t>
      </w:r>
      <w:r>
        <w:rPr>
          <w:color w:val="6E6158"/>
          <w:spacing w:val="34"/>
        </w:rPr>
        <w:t> </w:t>
      </w:r>
      <w:r>
        <w:rPr>
          <w:color w:val="6E6158"/>
        </w:rPr>
        <w:t>comprises</w:t>
      </w:r>
      <w:r>
        <w:rPr>
          <w:color w:val="6E6158"/>
          <w:spacing w:val="34"/>
        </w:rPr>
        <w:t> </w:t>
      </w:r>
      <w:r>
        <w:rPr>
          <w:color w:val="6E6158"/>
        </w:rPr>
        <w:t>an</w:t>
      </w:r>
      <w:r>
        <w:rPr>
          <w:color w:val="6E6158"/>
          <w:spacing w:val="34"/>
        </w:rPr>
        <w:t> </w:t>
      </w:r>
      <w:r>
        <w:rPr>
          <w:color w:val="6E6158"/>
        </w:rPr>
        <w:t>essential</w:t>
      </w:r>
      <w:r>
        <w:rPr>
          <w:color w:val="6E6158"/>
          <w:spacing w:val="34"/>
        </w:rPr>
        <w:t> </w:t>
      </w:r>
      <w:r>
        <w:rPr>
          <w:color w:val="6E6158"/>
        </w:rPr>
        <w:t>component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  <w:r>
        <w:rPr>
          <w:color w:val="6E6158"/>
          <w:spacing w:val="34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5" w:lineRule="auto" w:before="191"/>
        <w:ind w:left="99" w:right="50"/>
      </w:pPr>
      <w:r>
        <w:rPr>
          <w:color w:val="6E6158"/>
        </w:rPr>
        <w:t>Derek is also an active member of the California water law community. He speaks and writes</w:t>
      </w:r>
      <w:r>
        <w:rPr>
          <w:color w:val="6E6158"/>
          <w:spacing w:val="40"/>
        </w:rPr>
        <w:t> </w:t>
      </w:r>
      <w:r>
        <w:rPr>
          <w:color w:val="6E6158"/>
        </w:rPr>
        <w:t>frequently on water-related topics. He is an Editorial Board Member and author for the California</w:t>
      </w:r>
      <w:r>
        <w:rPr>
          <w:color w:val="6E6158"/>
          <w:spacing w:val="40"/>
        </w:rPr>
        <w:t> </w:t>
      </w:r>
      <w:r>
        <w:rPr>
          <w:color w:val="6E6158"/>
        </w:rPr>
        <w:t>Water Law &amp; Policy Reporter. He is a member of the Groundwater Resources Association of California and serves as Secretary-Treasurer for the CalWaterPAC.</w:t>
      </w:r>
    </w:p>
    <w:p>
      <w:pPr>
        <w:pStyle w:val="BodyText"/>
        <w:spacing w:line="297" w:lineRule="auto" w:before="197"/>
        <w:ind w:left="99" w:right="409"/>
      </w:pPr>
      <w:r>
        <w:rPr>
          <w:color w:val="6E6158"/>
        </w:rPr>
        <w:t>Outside of the office, Derek and his wife are blessed with four children, and their lives are a</w:t>
      </w:r>
      <w:r>
        <w:rPr>
          <w:color w:val="6E6158"/>
          <w:spacing w:val="40"/>
        </w:rPr>
        <w:t> </w:t>
      </w:r>
      <w:r>
        <w:rPr>
          <w:color w:val="6E6158"/>
        </w:rPr>
        <w:t>whirlwind of attending and coaching youth sports teams, piano recitals and everything in</w:t>
      </w:r>
      <w:r>
        <w:rPr>
          <w:color w:val="6E6158"/>
          <w:spacing w:val="40"/>
        </w:rPr>
        <w:t> </w:t>
      </w:r>
      <w:r>
        <w:rPr>
          <w:color w:val="6E6158"/>
        </w:rPr>
        <w:t>between.</w:t>
      </w:r>
      <w:r>
        <w:rPr>
          <w:color w:val="6E6158"/>
          <w:spacing w:val="18"/>
        </w:rPr>
        <w:t> </w:t>
      </w:r>
      <w:r>
        <w:rPr>
          <w:color w:val="6E6158"/>
        </w:rPr>
        <w:t>Derek</w:t>
      </w:r>
      <w:r>
        <w:rPr>
          <w:color w:val="6E6158"/>
          <w:spacing w:val="18"/>
        </w:rPr>
        <w:t> </w:t>
      </w:r>
      <w:r>
        <w:rPr>
          <w:color w:val="6E6158"/>
        </w:rPr>
        <w:t>also</w:t>
      </w:r>
      <w:r>
        <w:rPr>
          <w:color w:val="6E6158"/>
          <w:spacing w:val="18"/>
        </w:rPr>
        <w:t> </w:t>
      </w:r>
      <w:r>
        <w:rPr>
          <w:color w:val="6E6158"/>
        </w:rPr>
        <w:t>enjoys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many</w:t>
      </w:r>
      <w:r>
        <w:rPr>
          <w:color w:val="6E6158"/>
          <w:spacing w:val="18"/>
        </w:rPr>
        <w:t> </w:t>
      </w:r>
      <w:r>
        <w:rPr>
          <w:color w:val="6E6158"/>
        </w:rPr>
        <w:t>year-round</w:t>
      </w:r>
      <w:r>
        <w:rPr>
          <w:color w:val="6E6158"/>
          <w:spacing w:val="18"/>
        </w:rPr>
        <w:t> </w:t>
      </w:r>
      <w:r>
        <w:rPr>
          <w:color w:val="6E6158"/>
        </w:rPr>
        <w:t>outdoor</w:t>
      </w:r>
      <w:r>
        <w:rPr>
          <w:color w:val="6E6158"/>
          <w:spacing w:val="18"/>
        </w:rPr>
        <w:t> </w:t>
      </w:r>
      <w:r>
        <w:rPr>
          <w:color w:val="6E6158"/>
        </w:rPr>
        <w:t>activities</w:t>
      </w:r>
      <w:r>
        <w:rPr>
          <w:color w:val="6E6158"/>
          <w:spacing w:val="18"/>
        </w:rPr>
        <w:t> </w:t>
      </w:r>
      <w:r>
        <w:rPr>
          <w:color w:val="6E6158"/>
        </w:rPr>
        <w:t>that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uniquely</w:t>
      </w:r>
    </w:p>
    <w:p>
      <w:pPr>
        <w:pStyle w:val="BodyText"/>
        <w:spacing w:line="292" w:lineRule="auto"/>
        <w:ind w:left="99" w:right="409"/>
      </w:pPr>
      <w:r>
        <w:rPr>
          <w:color w:val="6E6158"/>
        </w:rPr>
        <w:t>offers, including snowboarding, wakeboarding, wake-surfing, mountain biking and hiking.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also plays soccer once a week in an adult league.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Pacific,</w:t>
      </w:r>
      <w:r>
        <w:rPr>
          <w:color w:val="6E6158"/>
          <w:spacing w:val="11"/>
        </w:rPr>
        <w:t> </w:t>
      </w:r>
      <w:r>
        <w:rPr>
          <w:color w:val="6E6158"/>
        </w:rPr>
        <w:t>McGeorge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175046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188pt;width:1.65pt;height:1.65pt;mso-position-horizontal-relative:page;mso-position-vertical-relative:paragraph;z-index:15729664" id="docshape2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Johns</w:t>
      </w:r>
      <w:r>
        <w:rPr>
          <w:color w:val="6E6158"/>
          <w:spacing w:val="12"/>
        </w:rPr>
        <w:t> </w:t>
      </w:r>
      <w:r>
        <w:rPr>
          <w:color w:val="6E6158"/>
        </w:rPr>
        <w:t>Hopkins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Carey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174996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223pt;width:1.65pt;height:1.65pt;mso-position-horizontal-relative:page;mso-position-vertical-relative:paragraph;z-index:15730176" id="docshape2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Accounting,</w:t>
      </w:r>
      <w:r>
        <w:rPr>
          <w:color w:val="6E6158"/>
          <w:spacing w:val="12"/>
        </w:rPr>
        <w:t> </w:t>
      </w:r>
      <w:r>
        <w:rPr>
          <w:color w:val="6E6158"/>
        </w:rPr>
        <w:t>Brigham</w:t>
      </w:r>
      <w:r>
        <w:rPr>
          <w:color w:val="6E6158"/>
          <w:spacing w:val="12"/>
        </w:rPr>
        <w:t> </w:t>
      </w:r>
      <w:r>
        <w:rPr>
          <w:color w:val="6E6158"/>
        </w:rPr>
        <w:t>Young</w:t>
      </w:r>
      <w:r>
        <w:rPr>
          <w:color w:val="6E6158"/>
          <w:spacing w:val="12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Marriott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1" w:right="7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157671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11pt;width:1.65pt;height:1.65pt;mso-position-horizontal-relative:page;mso-position-vertical-relative:paragraph;z-index:15730688" id="docshape2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416037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8862pt;width:1.65pt;height:1.65pt;mso-position-horizontal-relative:page;mso-position-vertical-relative:paragraph;z-index:15731200" id="docshape2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674403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2623pt;width:1.65pt;height:1.65pt;mso-position-horizontal-relative:page;mso-position-vertical-relative:paragraph;z-index:15731712" id="docshape24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 Law</w:t>
      </w:r>
      <w:r>
        <w:rPr>
          <w:color w:val="6E6158"/>
          <w:spacing w:val="40"/>
        </w:rPr>
        <w:t> </w:t>
      </w:r>
      <w:r>
        <w:rPr>
          <w:color w:val="6E6158"/>
        </w:rPr>
        <w:t>Natural </w:t>
      </w:r>
      <w:r>
        <w:rPr>
          <w:color w:val="6E6158"/>
        </w:rPr>
        <w:t>Resources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338961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89892pt;width:1.65pt;height:1.65pt;mso-position-horizontal-relative:page;mso-position-vertical-relative:paragraph;z-index:15732224" id="docshape25" coordorigin="1670,534" coordsize="33,33" path="m1691,566l1682,566,1678,565,1671,558,1670,555,1670,546,1671,542,1678,535,1682,534,1691,534,1694,535,1701,542,1702,546,1702,550,1702,555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California Supreme Court Replaces Greyhound Deference for Public Utilities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Commission’s Interpretation of its Code with Less Deferential Yamaha Standard</w:t>
        </w:r>
      </w:hyperlink>
      <w:r>
        <w:rPr>
          <w:color w:val="6E6158"/>
        </w:rPr>
        <w:t>,” California Water Law &amp; Policy Reporter, October 2025</w:t>
      </w:r>
    </w:p>
    <w:p>
      <w:pPr>
        <w:pStyle w:val="BodyText"/>
        <w:spacing w:before="132"/>
        <w:ind w:left="351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Finds</w:t>
      </w:r>
      <w:r>
        <w:rPr>
          <w:color w:val="6E6158"/>
          <w:spacing w:val="12"/>
        </w:rPr>
        <w:t> </w:t>
      </w:r>
      <w:r>
        <w:rPr>
          <w:color w:val="6E6158"/>
        </w:rPr>
        <w:t>Combined</w:t>
      </w:r>
      <w:r>
        <w:rPr>
          <w:color w:val="6E6158"/>
          <w:spacing w:val="12"/>
        </w:rPr>
        <w:t> </w:t>
      </w:r>
      <w:r>
        <w:rPr>
          <w:color w:val="6E6158"/>
        </w:rPr>
        <w:t>Wastewater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Stormwater</w:t>
      </w:r>
      <w:r>
        <w:rPr>
          <w:color w:val="6E6158"/>
          <w:spacing w:val="12"/>
        </w:rPr>
        <w:t> </w:t>
      </w:r>
      <w:r>
        <w:rPr>
          <w:color w:val="6E6158"/>
        </w:rPr>
        <w:t>System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line="292" w:lineRule="auto" w:before="52"/>
        <w:ind w:left="351"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97706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9343pt;width:1.65pt;height:1.65pt;mso-position-horizontal-relative:page;mso-position-vertical-relative:paragraph;z-index:15732736" id="docshape26" coordorigin="1670,154" coordsize="33,33" path="m1691,186l1682,186,1678,185,1671,178,1670,175,1670,166,1671,162,1678,155,1682,154,1691,154,1694,155,1701,162,1702,166,1702,170,1702,175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‘Sewer’ For Purposes of Proposition 218,” July 2025,</w:t>
      </w:r>
      <w:r>
        <w:rPr>
          <w:color w:val="6E6158"/>
          <w:spacing w:val="78"/>
        </w:rPr>
        <w:t> </w:t>
      </w:r>
      <w:r>
        <w:rPr>
          <w:color w:val="6E6158"/>
        </w:rPr>
        <w:t>California Water Law And Policy Reporter, </w:t>
      </w:r>
      <w:hyperlink r:id="rId13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23"/>
        <w:ind w:left="351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323824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999pt;width:1.65pt;height:1.65pt;mso-position-horizontal-relative:page;mso-position-vertical-relative:paragraph;z-index:15733248" id="docshape27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“First District Court Affirms Trial Court’s Rejection of Challenge to City Community Services District Charges Made Without Voter Approval,” California Land Use &amp; Policy Reporter, June 2025</w:t>
      </w:r>
    </w:p>
    <w:p>
      <w:pPr>
        <w:pStyle w:val="BodyText"/>
        <w:spacing w:line="297" w:lineRule="auto" w:before="118"/>
        <w:ind w:left="351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320680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0429pt;width:1.65pt;height:1.65pt;mso-position-horizontal-relative:page;mso-position-vertical-relative:paragraph;z-index:15733760" id="docshape28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“First District Court Affirms Trial Court’s Rejection of Challenge to City Community Services District Charges Made Without Voter Approval,” California Water Law &amp; Policy Reporter, June 2025</w:t>
      </w:r>
    </w:p>
    <w:p>
      <w:pPr>
        <w:pStyle w:val="BodyText"/>
        <w:spacing w:line="292" w:lineRule="auto" w:before="118"/>
        <w:ind w:left="351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227699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07pt;width:1.65pt;height:1.65pt;mso-position-horizontal-relative:page;mso-position-vertical-relative:paragraph;z-index:15734272" id="docshape29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</w:t>
      </w:r>
      <w:r>
        <w:rPr>
          <w:color w:val="6E6158"/>
        </w:rPr>
        <w:t>Implications,” California Water Law &amp; Policy Reporter, April 1, 2025</w:t>
      </w:r>
    </w:p>
    <w:p>
      <w:pPr>
        <w:pStyle w:val="BodyText"/>
        <w:spacing w:line="292" w:lineRule="auto" w:before="132"/>
        <w:ind w:left="351"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236219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924pt;width:1.65pt;height:1.65pt;mso-position-horizontal-relative:page;mso-position-vertical-relative:paragraph;z-index:15734784" id="docshape3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Implications,” Western Water Law &amp; Policy Reporter, April 2025</w:t>
      </w:r>
    </w:p>
    <w:p>
      <w:pPr>
        <w:pStyle w:val="BodyText"/>
        <w:spacing w:line="297" w:lineRule="auto" w:before="123"/>
        <w:ind w:left="351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323692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76pt;width:1.65pt;height:1.65pt;mso-position-horizontal-relative:page;mso-position-vertical-relative:paragraph;z-index:15735296" id="docshape31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California Land Use Law &amp; Policy Reporter, March 2025</w:t>
      </w:r>
    </w:p>
    <w:p>
      <w:pPr>
        <w:pStyle w:val="BodyText"/>
        <w:spacing w:line="292" w:lineRule="auto" w:before="118"/>
        <w:ind w:left="351" w:right="30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320549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008pt;width:1.65pt;height:1.65pt;mso-position-horizontal-relative:page;mso-position-vertical-relative:paragraph;z-index:15735808" id="docshape32" coordorigin="1670,505" coordsize="33,33" path="m1691,537l1682,537,1678,536,1671,529,1670,526,1670,517,1671,513,1678,506,1682,505,1691,505,1694,506,1701,513,1702,517,1702,521,1702,526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California Water Law And Policy Reporter, March 2025</w:t>
      </w:r>
    </w:p>
    <w:p>
      <w:pPr>
        <w:pStyle w:val="BodyText"/>
        <w:spacing w:line="292" w:lineRule="auto" w:before="132"/>
        <w:ind w:left="351"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329454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41301pt;width:1.65pt;height:1.65pt;mso-position-horizontal-relative:page;mso-position-vertical-relative:paragraph;z-index:15736320" id="docshape33" coordorigin="1670,519" coordsize="33,33" path="m1691,551l1682,551,1678,550,1671,543,1670,540,1670,531,1671,527,1678,520,1682,519,1691,519,1694,520,1701,527,1702,531,1702,535,1702,540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California Land Use Law And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March 2025</w:t>
      </w:r>
    </w:p>
    <w:p>
      <w:pPr>
        <w:pStyle w:val="BodyText"/>
        <w:spacing w:line="292" w:lineRule="auto" w:before="132"/>
        <w:ind w:left="351"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324303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5698pt;width:1.65pt;height:1.65pt;mso-position-horizontal-relative:page;mso-position-vertical-relative:paragraph;z-index:15736832" id="docshape34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Western Water Law And Policy Reporter, March 2025</w:t>
      </w:r>
    </w:p>
    <w:p>
      <w:pPr>
        <w:pStyle w:val="BodyText"/>
        <w:spacing w:line="297" w:lineRule="auto" w:before="124"/>
        <w:ind w:left="351" w:right="2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324320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7016pt;width:1.65pt;height:1.65pt;mso-position-horizontal-relative:page;mso-position-vertical-relative:paragraph;z-index:15737344" id="docshape35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“California Expands Efforts to Capture Excess Flood Flows for Groundwater</w:t>
      </w:r>
      <w:r>
        <w:rPr>
          <w:color w:val="6E6158"/>
          <w:spacing w:val="80"/>
        </w:rPr>
        <w:t> </w:t>
      </w:r>
      <w:r>
        <w:rPr>
          <w:color w:val="6E6158"/>
        </w:rPr>
        <w:t>Recharge Via Governor Newsom’s Executive Order N-16-25,” California Water Law And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March 2025</w:t>
      </w:r>
    </w:p>
    <w:p>
      <w:pPr>
        <w:pStyle w:val="BodyText"/>
        <w:spacing w:after="0" w:line="297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7" w:lineRule="auto" w:before="83"/>
        <w:ind w:left="351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7856" id="docshape36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Western Law &amp; Policy Reporter,</w:t>
      </w:r>
      <w:r>
        <w:rPr>
          <w:color w:val="6E6158"/>
          <w:spacing w:val="40"/>
        </w:rPr>
        <w:t> </w:t>
      </w:r>
      <w:r>
        <w:rPr>
          <w:color w:val="6E6158"/>
        </w:rPr>
        <w:t>February 2025</w:t>
      </w:r>
    </w:p>
    <w:p>
      <w:pPr>
        <w:pStyle w:val="BodyText"/>
        <w:spacing w:line="292" w:lineRule="auto" w:before="118"/>
        <w:ind w:left="351" w:right="50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293pt;width:1.65pt;height:1.65pt;mso-position-horizontal-relative:page;mso-position-vertical-relative:paragraph;z-index:15738368" id="docshape37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“Superior Court Orders Sonoma County To Cease Issuing Well Permits Except for Emergency Permits,” California Water Law And Policy Reporter, February 2025</w:t>
      </w:r>
    </w:p>
    <w:p>
      <w:pPr>
        <w:pStyle w:val="BodyText"/>
        <w:spacing w:line="297" w:lineRule="auto" w:before="124"/>
        <w:ind w:left="351"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324065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6962pt;width:1.65pt;height:1.65pt;mso-position-horizontal-relative:page;mso-position-vertical-relative:paragraph;z-index:15738880" id="docshape3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28"/>
        </w:rPr>
        <w:t> </w:t>
      </w:r>
      <w:r>
        <w:rPr>
          <w:color w:val="6E6158"/>
        </w:rPr>
        <w:t>“U.S.</w:t>
      </w:r>
      <w:r>
        <w:rPr>
          <w:color w:val="6E6158"/>
          <w:spacing w:val="28"/>
        </w:rPr>
        <w:t> </w:t>
      </w:r>
      <w:r>
        <w:rPr>
          <w:color w:val="6E6158"/>
        </w:rPr>
        <w:t>Bureau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Reclamation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Final</w:t>
      </w:r>
      <w:r>
        <w:rPr>
          <w:color w:val="6E6158"/>
          <w:spacing w:val="28"/>
        </w:rPr>
        <w:t> </w:t>
      </w:r>
      <w:r>
        <w:rPr>
          <w:color w:val="6E6158"/>
        </w:rPr>
        <w:t>Decision</w:t>
      </w:r>
      <w:r>
        <w:rPr>
          <w:color w:val="6E6158"/>
          <w:spacing w:val="28"/>
        </w:rPr>
        <w:t> </w:t>
      </w:r>
      <w:r>
        <w:rPr>
          <w:color w:val="6E6158"/>
        </w:rPr>
        <w:t>Regarding</w:t>
      </w:r>
      <w:r>
        <w:rPr>
          <w:color w:val="6E6158"/>
          <w:spacing w:val="28"/>
        </w:rPr>
        <w:t> </w:t>
      </w:r>
      <w:r>
        <w:rPr>
          <w:color w:val="6E6158"/>
        </w:rPr>
        <w:t>Long-term</w:t>
      </w:r>
      <w:r>
        <w:rPr>
          <w:color w:val="6E6158"/>
          <w:spacing w:val="28"/>
        </w:rPr>
        <w:t> </w:t>
      </w:r>
      <w:r>
        <w:rPr>
          <w:color w:val="6E6158"/>
        </w:rPr>
        <w:t>Operation of the Central Valley Project and State Water Project,” California Water Law &amp; Policy Reporter, February 1, 2025</w:t>
      </w:r>
    </w:p>
    <w:p>
      <w:pPr>
        <w:pStyle w:val="BodyText"/>
        <w:spacing w:line="295" w:lineRule="auto" w:before="118"/>
        <w:ind w:left="351" w:right="409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413299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43285pt;width:1.65pt;height:1.65pt;mso-position-horizontal-relative:page;mso-position-vertical-relative:paragraph;z-index:15739392" id="docshape39" coordorigin="1670,651" coordsize="33,33" path="m1691,683l1682,683,1678,682,1671,675,1670,672,1670,663,1671,659,1678,652,1682,651,1691,651,1694,652,1701,659,1702,663,1702,667,1702,672,1701,675,1694,682,1691,6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“State Water Project Allocations Started at 5 Percent, Then Jump to 15 Percent After Late November Atmospheric Rivers Marking A Wetter Year Than Initially Forecasted” January 2025, California Water Law And Policy Reporter, </w:t>
      </w:r>
      <w:hyperlink r:id="rId13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23"/>
        <w:ind w:left="351"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230650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469pt;width:1.65pt;height:1.65pt;mso-position-horizontal-relative:page;mso-position-vertical-relative:paragraph;z-index:15739904" id="docshape4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“California Water Law &amp; Policy Conference, Indian Wells Valley: A Case Study of Complex</w:t>
      </w:r>
      <w:r>
        <w:rPr>
          <w:color w:val="6E6158"/>
          <w:spacing w:val="37"/>
        </w:rPr>
        <w:t> </w:t>
      </w:r>
      <w:r>
        <w:rPr>
          <w:color w:val="6E6158"/>
        </w:rPr>
        <w:t>Groundwater</w:t>
      </w:r>
      <w:r>
        <w:rPr>
          <w:color w:val="6E6158"/>
          <w:spacing w:val="37"/>
        </w:rPr>
        <w:t> </w:t>
      </w:r>
      <w:r>
        <w:rPr>
          <w:color w:val="6E6158"/>
        </w:rPr>
        <w:t>Management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Adjudication</w:t>
      </w:r>
      <w:r>
        <w:rPr>
          <w:color w:val="6E6158"/>
          <w:spacing w:val="37"/>
        </w:rPr>
        <w:t> </w:t>
      </w:r>
      <w:r>
        <w:rPr>
          <w:color w:val="6E6158"/>
        </w:rPr>
        <w:t>Issues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SGMA</w:t>
      </w:r>
      <w:r>
        <w:rPr>
          <w:color w:val="6E6158"/>
          <w:spacing w:val="37"/>
        </w:rPr>
        <w:t> </w:t>
      </w:r>
      <w:r>
        <w:rPr>
          <w:color w:val="6E6158"/>
        </w:rPr>
        <w:t>Era,”</w:t>
      </w:r>
      <w:r>
        <w:rPr>
          <w:color w:val="6E6158"/>
          <w:spacing w:val="37"/>
        </w:rPr>
        <w:t> </w:t>
      </w:r>
      <w:r>
        <w:rPr>
          <w:color w:val="6E6158"/>
        </w:rPr>
        <w:t>2021</w:t>
      </w:r>
    </w:p>
    <w:p>
      <w:pPr>
        <w:pStyle w:val="BodyText"/>
        <w:spacing w:line="292" w:lineRule="auto" w:before="131"/>
        <w:ind w:left="351"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235995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333pt;width:1.65pt;height:1.65pt;mso-position-horizontal-relative:page;mso-position-vertical-relative:paragraph;z-index:15740416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“California Water Law &amp; Policy Conference, The Price of Water? Water and the Nasdaq”, 2019</w:t>
      </w:r>
    </w:p>
    <w:p>
      <w:pPr>
        <w:pStyle w:val="BodyText"/>
        <w:spacing w:line="422" w:lineRule="auto" w:before="124"/>
        <w:ind w:left="351" w:right="2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143250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55pt;width:1.65pt;height:1.65pt;mso-position-horizontal-relative:page;mso-position-vertical-relative:paragraph;z-index:15740928" id="docshape4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401615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3297pt;width:1.65pt;height:1.65pt;mso-position-horizontal-relative:page;mso-position-vertical-relative:paragraph;z-index:15741440" id="docshape43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659981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67049pt;width:1.65pt;height:1.65pt;mso-position-horizontal-relative:page;mso-position-vertical-relative:paragraph;z-index:15741952" id="docshape44" coordorigin="1670,1039" coordsize="33,33" path="m1691,1072l1682,1072,1678,1070,1671,1064,1670,1060,1670,1051,1671,1047,1678,1041,1682,1039,1691,1039,1694,1041,1701,1047,1702,1051,1702,1056,1702,1060,1701,1064,1694,1070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923514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2.717644pt;width:1.65pt;height:1.65pt;mso-position-horizontal-relative:page;mso-position-vertical-relative:paragraph;z-index:15742464" id="docshape45" coordorigin="1670,1454" coordsize="33,33" path="m1691,1487l1682,1487,1678,1485,1671,1479,1670,1475,1670,1466,1671,1462,1678,1456,1682,1454,1691,1454,1694,1456,1701,1462,1702,1466,1702,1471,1702,1475,1701,1479,1694,1485,1691,14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California Water Law &amp; Policy Conference, 2018 Speaker, California Water Law &amp; Policy Conference, 2017 Speaker, California Water Law &amp; Policy Conference, 2016 Speaker, “Water Rights in California,” National Business </w:t>
      </w:r>
      <w:r>
        <w:rPr>
          <w:color w:val="6E6158"/>
        </w:rPr>
        <w:t>Institute</w:t>
      </w:r>
    </w:p>
    <w:p>
      <w:pPr>
        <w:pStyle w:val="BodyText"/>
        <w:spacing w:before="22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152361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929pt;width:1.65pt;height:1.65pt;mso-position-horizontal-relative:page;mso-position-vertical-relative:paragraph;z-index:15742976" id="docshape46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Policy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Reporter</w:t>
      </w:r>
    </w:p>
    <w:p>
      <w:pPr>
        <w:pStyle w:val="BodyText"/>
        <w:spacing w:line="420" w:lineRule="auto" w:before="174"/>
        <w:ind w:left="351" w:right="1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175257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815pt;width:1.65pt;height:1.65pt;mso-position-horizontal-relative:page;mso-position-vertical-relative:paragraph;z-index:15743488" id="docshape4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433623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559pt;width:1.65pt;height:1.65pt;mso-position-horizontal-relative:page;mso-position-vertical-relative:paragraph;z-index:15744000" id="docshape48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Groundwater Resources Association of California, Inland Empire </w:t>
      </w:r>
      <w:r>
        <w:rPr>
          <w:color w:val="6E6158"/>
        </w:rPr>
        <w:t>Branch </w:t>
      </w:r>
      <w:r>
        <w:rPr>
          <w:color w:val="6E6158"/>
          <w:spacing w:val="-2"/>
        </w:rPr>
        <w:t>CalMutuals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63758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358pt;width:1.65pt;height:1.65pt;mso-position-horizontal-relative:page;mso-position-vertical-relative:paragraph;z-index:15744512" id="docshape4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CalWaterPAC</w:t>
      </w:r>
    </w:p>
    <w:p>
      <w:pPr>
        <w:pStyle w:val="BodyText"/>
        <w:spacing w:line="420" w:lineRule="auto" w:before="182"/>
        <w:ind w:left="351" w:right="36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175207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863pt;width:1.65pt;height:1.65pt;mso-position-horizontal-relative:page;mso-position-vertical-relative:paragraph;z-index:15745024" id="docshape50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438740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6478pt;width:1.65pt;height:1.65pt;mso-position-horizontal-relative:page;mso-position-vertical-relative:paragraph;z-index:15745536" id="docshape51" coordorigin="1670,691" coordsize="33,33" path="m1691,723l1682,723,1678,722,1671,716,1670,712,1670,703,1671,699,1678,693,1682,691,1691,691,1694,693,1701,699,1702,703,1702,707,1702,712,1701,716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697105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90221pt;width:1.65pt;height:1.65pt;mso-position-horizontal-relative:page;mso-position-vertical-relative:paragraph;z-index:15746048" id="docshape52" coordorigin="1670,1098" coordsize="33,33" path="m1691,1130l1682,1130,1678,1129,1671,1122,1670,1119,1670,1110,1671,1106,1678,1099,1682,1098,1691,1098,1694,1099,1701,1106,1702,1110,1702,1114,1702,1119,1701,1122,1694,1129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Groundwater Resources Association of California California Association of Realtors, Legal Affairs </w:t>
      </w:r>
      <w:r>
        <w:rPr>
          <w:color w:val="6E6158"/>
        </w:rPr>
        <w:t>Forum Riverside County Bar Association</w:t>
      </w:r>
    </w:p>
    <w:p>
      <w:pPr>
        <w:pStyle w:val="BodyText"/>
        <w:spacing w:line="420" w:lineRule="auto" w:before="6"/>
        <w:ind w:left="351" w:right="47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63290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83537pt;width:1.65pt;height:1.65pt;mso-position-horizontal-relative:page;mso-position-vertical-relative:paragraph;z-index:15746560" id="docshape53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321656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2728pt;width:1.65pt;height:1.65pt;mso-position-horizontal-relative:page;mso-position-vertical-relative:paragraph;z-index:15747072" id="docshape54" coordorigin="1670,507" coordsize="33,33" path="m1691,539l1682,539,1678,538,1671,531,1670,527,1670,518,1671,514,1678,508,1682,507,1691,507,1694,508,1701,514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Bernardino County Bar </w:t>
      </w:r>
      <w:r>
        <w:rPr>
          <w:color w:val="6E6158"/>
        </w:rPr>
        <w:t>Association Reuben Clark Law Society</w:t>
      </w:r>
    </w:p>
    <w:p>
      <w:pPr>
        <w:pStyle w:val="BodyText"/>
        <w:spacing w:before="223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158069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448pt;width:1.65pt;height:1.65pt;mso-position-horizontal-relative:page;mso-position-vertical-relative:paragraph;z-index:15747584" id="docshape55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water-law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https://www.fennemorelaw.com/contact-us/fresno/" TargetMode="External"/><Relationship Id="rId11" Type="http://schemas.openxmlformats.org/officeDocument/2006/relationships/hyperlink" Target="mailto:dhoffman@fennemorelaw.com" TargetMode="External"/><Relationship Id="rId12" Type="http://schemas.openxmlformats.org/officeDocument/2006/relationships/hyperlink" Target="https://images.magnetmail.net/images/clients/ARGENT/attach/CWL202510.pdf" TargetMode="External"/><Relationship Id="rId13" Type="http://schemas.openxmlformats.org/officeDocument/2006/relationships/hyperlink" Target="https://argentco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Hoffman - Fennemore</dc:title>
  <dcterms:created xsi:type="dcterms:W3CDTF">2025-11-24T21:57:16Z</dcterms:created>
  <dcterms:modified xsi:type="dcterms:W3CDTF">2025-11-24T21:57:16Z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2025-11-24T00:00:00Z</vt:filetime>
  </property>
  <property fmtid="{D5CDD505-2E9C-101B-9397-08002B2CF9AE}" pid="5" name="Producer">
    <vt:lpwstr>Skia/PDF m142</vt:lpwstr>
  </property>
</Properties>
</file>