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aithlyn Smith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6112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5872" y="763308"/>
                            <a:ext cx="194881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KAITLYN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801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491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8690" y="2226505"/>
                            <a:ext cx="14027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72558" y="3482163"/>
                            <a:ext cx="29425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others.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5603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KAITLYN</w:t>
                              </w:r>
                              <w:r>
                                <w:rPr>
                                  <w:b/>
                                  <w:color w:val="FF8100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Kaithlyn Smith v2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83;top:-5016;width:3052;height:505" id="docshape6" coordorigin="6984,-5016" coordsize="3052,505" path="m10035,-4520l6984,-4520,6984,-4511,10035,-4511,10035,-4520xm10035,-5016l6984,-5016,6984,-5008,10035,-5008,10035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3;top:-5971;width:3069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KAITLYN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9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602.916.5330</w:t>
                        </w:r>
                      </w:p>
                    </w:txbxContent>
                  </v:textbox>
                  <w10:wrap type="none"/>
                </v:shape>
                <v:shape style="position:absolute;left:8745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12;top:-3667;width:2209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12;top:-1689;width:463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strong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others.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78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KAITLYN</w:t>
                        </w:r>
                        <w:r>
                          <w:rPr>
                            <w:b/>
                            <w:color w:val="FF8100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E.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SMITH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Kaitlyn Smith is an Associate attorney in our Natural Resources, Energy and Environmental law</w:t>
      </w:r>
      <w:r>
        <w:rPr>
          <w:color w:val="6E6158"/>
          <w:spacing w:val="40"/>
        </w:rPr>
        <w:t> </w:t>
      </w:r>
      <w:r>
        <w:rPr>
          <w:color w:val="6E6158"/>
        </w:rPr>
        <w:t>practice group who works out of our Phoenix office. Her primary focus lies in energy and water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80"/>
        </w:rPr>
        <w:t> </w:t>
      </w:r>
      <w:r>
        <w:rPr>
          <w:color w:val="6E6158"/>
        </w:rPr>
        <w:t>Kaitlyn represents large industrial customers, renewable energy developers, and </w:t>
      </w:r>
      <w:r>
        <w:rPr>
          <w:color w:val="6E6158"/>
        </w:rPr>
        <w:t>water and wastewater utilities in matters before the Arizona Corporation Commission.</w:t>
      </w:r>
      <w:r>
        <w:rPr>
          <w:color w:val="6E6158"/>
          <w:spacing w:val="80"/>
        </w:rPr>
        <w:t> </w:t>
      </w:r>
      <w:r>
        <w:rPr>
          <w:color w:val="6E6158"/>
        </w:rPr>
        <w:t>Currently, she is dedicated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streamlining</w:t>
      </w:r>
      <w:r>
        <w:rPr>
          <w:color w:val="6E6158"/>
          <w:spacing w:val="37"/>
        </w:rPr>
        <w:t> </w:t>
      </w:r>
      <w:r>
        <w:rPr>
          <w:color w:val="6E6158"/>
        </w:rPr>
        <w:t>Arizona’s</w:t>
      </w:r>
      <w:r>
        <w:rPr>
          <w:color w:val="6E6158"/>
          <w:spacing w:val="37"/>
        </w:rPr>
        <w:t> </w:t>
      </w:r>
      <w:r>
        <w:rPr>
          <w:color w:val="6E6158"/>
        </w:rPr>
        <w:t>fragmented</w:t>
      </w:r>
      <w:r>
        <w:rPr>
          <w:color w:val="6E6158"/>
          <w:spacing w:val="37"/>
        </w:rPr>
        <w:t> </w:t>
      </w:r>
      <w:r>
        <w:rPr>
          <w:color w:val="6E6158"/>
        </w:rPr>
        <w:t>water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wastewater</w:t>
      </w:r>
      <w:r>
        <w:rPr>
          <w:color w:val="6E6158"/>
          <w:spacing w:val="37"/>
        </w:rPr>
        <w:t> </w:t>
      </w:r>
      <w:r>
        <w:rPr>
          <w:color w:val="6E6158"/>
        </w:rPr>
        <w:t>industries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enhance the quality of service provided to customers.</w:t>
      </w:r>
    </w:p>
    <w:p>
      <w:pPr>
        <w:pStyle w:val="BodyText"/>
        <w:spacing w:line="292" w:lineRule="auto" w:before="187"/>
        <w:ind w:left="99" w:right="429"/>
      </w:pPr>
      <w:r>
        <w:rPr>
          <w:color w:val="6E6158"/>
        </w:rPr>
        <w:t>Before joining our firm, Kaitlyn handled a diverse range of civil litigation matters,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contract</w:t>
      </w:r>
      <w:r>
        <w:rPr>
          <w:color w:val="6E6158"/>
          <w:spacing w:val="22"/>
        </w:rPr>
        <w:t> </w:t>
      </w:r>
      <w:r>
        <w:rPr>
          <w:color w:val="6E6158"/>
        </w:rPr>
        <w:t>claims,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torts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unfair</w:t>
      </w:r>
      <w:r>
        <w:rPr>
          <w:color w:val="6E6158"/>
          <w:spacing w:val="22"/>
        </w:rPr>
        <w:t> </w:t>
      </w:r>
      <w:r>
        <w:rPr>
          <w:color w:val="6E6158"/>
        </w:rPr>
        <w:t>competition</w:t>
      </w:r>
      <w:r>
        <w:rPr>
          <w:color w:val="6E6158"/>
          <w:spacing w:val="22"/>
        </w:rPr>
        <w:t> </w:t>
      </w:r>
      <w:r>
        <w:rPr>
          <w:color w:val="6E6158"/>
        </w:rPr>
        <w:t>claims,</w:t>
      </w:r>
      <w:r>
        <w:rPr>
          <w:color w:val="6E6158"/>
          <w:spacing w:val="22"/>
        </w:rPr>
        <w:t> </w:t>
      </w:r>
      <w:r>
        <w:rPr>
          <w:color w:val="6E6158"/>
        </w:rPr>
        <w:t>construction</w:t>
      </w:r>
      <w:r>
        <w:rPr>
          <w:color w:val="6E6158"/>
          <w:spacing w:val="22"/>
        </w:rPr>
        <w:t> </w:t>
      </w:r>
      <w:r>
        <w:rPr>
          <w:color w:val="6E6158"/>
        </w:rPr>
        <w:t>law</w:t>
      </w:r>
    </w:p>
    <w:p>
      <w:pPr>
        <w:pStyle w:val="BodyText"/>
        <w:spacing w:line="292" w:lineRule="auto" w:before="9"/>
        <w:ind w:left="99" w:right="155"/>
      </w:pPr>
      <w:r>
        <w:rPr>
          <w:color w:val="6E6158"/>
        </w:rPr>
        <w:t>disputes, defamation or reputation disputes, and lender liability or financing disputes. She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represented and advised companies, government agencies,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rights,</w:t>
      </w:r>
      <w:r>
        <w:rPr>
          <w:color w:val="6E6158"/>
          <w:spacing w:val="40"/>
        </w:rPr>
        <w:t> </w:t>
      </w:r>
      <w:r>
        <w:rPr>
          <w:color w:val="6E6158"/>
        </w:rPr>
        <w:t>administrative,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investment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line="297" w:lineRule="auto" w:before="197"/>
        <w:ind w:left="99" w:right="155"/>
      </w:pPr>
      <w:r>
        <w:rPr>
          <w:color w:val="6E6158"/>
        </w:rPr>
        <w:t>Outside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office,</w:t>
      </w:r>
      <w:r>
        <w:rPr>
          <w:color w:val="6E6158"/>
          <w:spacing w:val="29"/>
        </w:rPr>
        <w:t> </w:t>
      </w:r>
      <w:r>
        <w:rPr>
          <w:color w:val="6E6158"/>
        </w:rPr>
        <w:t>Kaitlyn</w:t>
      </w:r>
      <w:r>
        <w:rPr>
          <w:color w:val="6E6158"/>
          <w:spacing w:val="29"/>
        </w:rPr>
        <w:t> </w:t>
      </w:r>
      <w:r>
        <w:rPr>
          <w:color w:val="6E6158"/>
        </w:rPr>
        <w:t>unwinds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activities</w:t>
      </w:r>
      <w:r>
        <w:rPr>
          <w:color w:val="6E6158"/>
          <w:spacing w:val="29"/>
        </w:rPr>
        <w:t> </w:t>
      </w:r>
      <w:r>
        <w:rPr>
          <w:color w:val="6E6158"/>
        </w:rPr>
        <w:t>such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reading,</w:t>
      </w:r>
      <w:r>
        <w:rPr>
          <w:color w:val="6E6158"/>
          <w:spacing w:val="29"/>
        </w:rPr>
        <w:t> </w:t>
      </w:r>
      <w:r>
        <w:rPr>
          <w:color w:val="6E6158"/>
        </w:rPr>
        <w:t>baking,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playing with her dog Millie.</w:t>
      </w:r>
      <w:r>
        <w:rPr>
          <w:color w:val="6E6158"/>
          <w:spacing w:val="75"/>
        </w:rPr>
        <w:t> </w:t>
      </w:r>
      <w:r>
        <w:rPr>
          <w:color w:val="6E6158"/>
        </w:rPr>
        <w:t>With 15 countries under her belt, Kaitlyn has a passion for traveling.</w:t>
      </w:r>
      <w:r>
        <w:rPr>
          <w:color w:val="6E6158"/>
          <w:spacing w:val="75"/>
        </w:rPr>
        <w:t> </w:t>
      </w:r>
      <w:r>
        <w:rPr>
          <w:color w:val="6E6158"/>
        </w:rPr>
        <w:t>Some of her</w:t>
      </w:r>
      <w:r>
        <w:rPr>
          <w:color w:val="6E6158"/>
          <w:spacing w:val="28"/>
        </w:rPr>
        <w:t> </w:t>
      </w:r>
      <w:r>
        <w:rPr>
          <w:color w:val="6E6158"/>
        </w:rPr>
        <w:t>past</w:t>
      </w:r>
      <w:r>
        <w:rPr>
          <w:color w:val="6E6158"/>
          <w:spacing w:val="28"/>
        </w:rPr>
        <w:t> </w:t>
      </w:r>
      <w:r>
        <w:rPr>
          <w:color w:val="6E6158"/>
        </w:rPr>
        <w:t>adventures</w:t>
      </w:r>
      <w:r>
        <w:rPr>
          <w:color w:val="6E6158"/>
          <w:spacing w:val="28"/>
        </w:rPr>
        <w:t> </w:t>
      </w:r>
      <w:r>
        <w:rPr>
          <w:color w:val="6E6158"/>
        </w:rPr>
        <w:t>include</w:t>
      </w:r>
      <w:r>
        <w:rPr>
          <w:color w:val="6E6158"/>
          <w:spacing w:val="28"/>
        </w:rPr>
        <w:t> </w:t>
      </w:r>
      <w:r>
        <w:rPr>
          <w:color w:val="6E6158"/>
        </w:rPr>
        <w:t>studying</w:t>
      </w:r>
      <w:r>
        <w:rPr>
          <w:color w:val="6E6158"/>
          <w:spacing w:val="28"/>
        </w:rPr>
        <w:t> </w:t>
      </w:r>
      <w:r>
        <w:rPr>
          <w:color w:val="6E6158"/>
        </w:rPr>
        <w:t>abroad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Italy,</w:t>
      </w:r>
      <w:r>
        <w:rPr>
          <w:color w:val="6E6158"/>
          <w:spacing w:val="28"/>
        </w:rPr>
        <w:t> </w:t>
      </w:r>
      <w:r>
        <w:rPr>
          <w:color w:val="6E6158"/>
        </w:rPr>
        <w:t>participating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trip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Guatemala,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conducting</w:t>
      </w:r>
      <w:r>
        <w:rPr>
          <w:color w:val="6E6158"/>
          <w:spacing w:val="14"/>
        </w:rPr>
        <w:t> </w:t>
      </w:r>
      <w:r>
        <w:rPr>
          <w:color w:val="6E6158"/>
        </w:rPr>
        <w:t>sustainable</w:t>
      </w:r>
      <w:r>
        <w:rPr>
          <w:color w:val="6E6158"/>
          <w:spacing w:val="15"/>
        </w:rPr>
        <w:t> </w:t>
      </w:r>
      <w:r>
        <w:rPr>
          <w:color w:val="6E6158"/>
        </w:rPr>
        <w:t>fisheries</w:t>
      </w:r>
      <w:r>
        <w:rPr>
          <w:color w:val="6E6158"/>
          <w:spacing w:val="14"/>
        </w:rPr>
        <w:t> </w:t>
      </w:r>
      <w:r>
        <w:rPr>
          <w:color w:val="6E6158"/>
        </w:rPr>
        <w:t>research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Bahamas.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4"/>
        <w:ind w:left="351" w:right="2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271pt;width:1.65pt;height:1.65pt;mso-position-horizontal-relative:page;mso-position-vertical-relative:paragraph;z-index:15729152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415874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014pt;width:1.65pt;height:1.65pt;mso-position-horizontal-relative:page;mso-position-vertical-relative:paragraph;z-index:15729664" id="docshape17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Sandra Day O’Connor College of Law, Arizona State </w:t>
      </w:r>
      <w:r>
        <w:rPr>
          <w:color w:val="6E6158"/>
        </w:rPr>
        <w:t>University</w:t>
      </w:r>
      <w:r>
        <w:rPr>
          <w:color w:val="6E6158"/>
        </w:rPr>
        <w:t> B.S., Monmouth University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3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157804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538pt;width:1.65pt;height:1.65pt;mso-position-horizontal-relative:page;mso-position-vertical-relative:paragraph;z-index:15730176" id="docshape1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416169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279pt;width:1.65pt;height:1.65pt;mso-position-horizontal-relative:page;mso-position-vertical-relative:paragraph;z-index:15730688" id="docshape1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2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1712" id="docshape2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Bono</w:t>
      </w:r>
      <w:r>
        <w:rPr>
          <w:color w:val="6E6158"/>
          <w:spacing w:val="13"/>
        </w:rPr>
        <w:t> </w:t>
      </w:r>
      <w:r>
        <w:rPr>
          <w:color w:val="6E6158"/>
        </w:rPr>
        <w:t>Distinction,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4"/>
        </w:rPr>
        <w:t> </w:t>
      </w:r>
      <w:r>
        <w:rPr>
          <w:color w:val="6E6158"/>
        </w:rPr>
        <w:t>Day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35pt;width:1.65pt;height:1.65pt;mso-position-horizontal-relative:page;mso-position-vertical-relative:paragraph;z-index:15732224" id="docshape22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10"/>
        </w:rPr>
        <w:t> </w:t>
      </w:r>
      <w:r>
        <w:rPr>
          <w:color w:val="6E6158"/>
        </w:rPr>
        <w:t>Paul</w:t>
      </w:r>
      <w:r>
        <w:rPr>
          <w:color w:val="6E6158"/>
          <w:spacing w:val="10"/>
        </w:rPr>
        <w:t> </w:t>
      </w:r>
      <w:r>
        <w:rPr>
          <w:color w:val="6E6158"/>
        </w:rPr>
        <w:t>Holloway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Advocates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157870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721pt;width:1.65pt;height:1.65pt;mso-position-horizontal-relative:page;mso-position-vertical-relative:paragraph;z-index:15732736" id="docshape2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Student</w:t>
      </w:r>
      <w:r>
        <w:rPr>
          <w:color w:val="6E6158"/>
          <w:spacing w:val="7"/>
        </w:rPr>
        <w:t> </w:t>
      </w: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Center</w:t>
      </w:r>
      <w:r>
        <w:rPr>
          <w:color w:val="6E6158"/>
          <w:spacing w:val="7"/>
        </w:rPr>
        <w:t> </w:t>
      </w:r>
      <w:r>
        <w:rPr>
          <w:color w:val="6E6158"/>
        </w:rPr>
        <w:t>Inc.</w:t>
      </w:r>
      <w:r>
        <w:rPr>
          <w:color w:val="6E6158"/>
          <w:spacing w:val="8"/>
        </w:rPr>
        <w:t> </w:t>
      </w:r>
      <w:r>
        <w:rPr>
          <w:color w:val="6E6158"/>
        </w:rPr>
        <w:t>Pro</w:t>
      </w:r>
      <w:r>
        <w:rPr>
          <w:color w:val="6E6158"/>
          <w:spacing w:val="8"/>
        </w:rPr>
        <w:t> </w:t>
      </w:r>
      <w:r>
        <w:rPr>
          <w:color w:val="6E6158"/>
        </w:rPr>
        <w:t>bono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157603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761pt;width:1.65pt;height:1.65pt;mso-position-horizontal-relative:page;mso-position-vertical-relative:paragraph;z-index:15733248" id="docshape2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175333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807pt;width:1.65pt;height:1.65pt;mso-position-horizontal-relative:page;mso-position-vertical-relative:paragraph;z-index:15733760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Kaitlyn E. Smith - Fennemore</dc:title>
  <dcterms:created xsi:type="dcterms:W3CDTF">2025-11-21T19:36:00Z</dcterms:created>
  <dcterms:modified xsi:type="dcterms:W3CDTF">2025-11-21T19:36:00Z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