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ieShefti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61790" y="1369338"/>
                            <a:ext cx="15817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785" h="320675">
                                <a:moveTo>
                                  <a:pt x="15812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581200" y="320382"/>
                                </a:lnTo>
                                <a:lnTo>
                                  <a:pt x="1581200" y="315214"/>
                                </a:lnTo>
                                <a:close/>
                              </a:path>
                              <a:path w="1581785" h="320675">
                                <a:moveTo>
                                  <a:pt x="158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581200" y="5168"/>
                                </a:lnTo>
                                <a:lnTo>
                                  <a:pt x="15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KATIE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SHEFTIC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ksheftic@fennemorelaw.com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atieSheftic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924;top:2156;width:2491;height:505" id="docshape5" coordorigin="5924,2156" coordsize="2491,505" path="m8414,2653l5924,2653,5924,2661,8414,2661,8414,2653xm8414,2156l5924,2156,5924,2165,8414,2165,841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KATIE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SHEFTIC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ksheftic@fennemorelaw.com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KATIE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SHEFTIC</w:t>
      </w:r>
    </w:p>
    <w:p>
      <w:pPr>
        <w:pStyle w:val="BodyText"/>
        <w:ind w:left="99"/>
      </w:pPr>
      <w:r>
        <w:rPr>
          <w:color w:val="6E6158"/>
        </w:rPr>
        <w:t>Katie</w:t>
      </w:r>
      <w:r>
        <w:rPr>
          <w:color w:val="6E6158"/>
          <w:spacing w:val="11"/>
        </w:rPr>
        <w:t> </w:t>
      </w:r>
      <w:r>
        <w:rPr>
          <w:color w:val="6E6158"/>
        </w:rPr>
        <w:t>Sheftic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mining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background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energy,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99" w:right="511"/>
      </w:pPr>
      <w:r>
        <w:rPr>
          <w:color w:val="6E6158"/>
        </w:rPr>
        <w:t>policy. From transactional matters to litigation, Katie enjoys helping clients navigate the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legal,</w:t>
      </w:r>
      <w:r>
        <w:rPr>
          <w:color w:val="6E6158"/>
          <w:spacing w:val="32"/>
        </w:rPr>
        <w:t> </w:t>
      </w:r>
      <w:r>
        <w:rPr>
          <w:color w:val="6E6158"/>
        </w:rPr>
        <w:t>tribal,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regulatory</w:t>
      </w:r>
      <w:r>
        <w:rPr>
          <w:color w:val="6E6158"/>
          <w:spacing w:val="32"/>
        </w:rPr>
        <w:t> </w:t>
      </w:r>
      <w:r>
        <w:rPr>
          <w:color w:val="6E6158"/>
        </w:rPr>
        <w:t>landscape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Idaho’s</w:t>
      </w:r>
      <w:r>
        <w:rPr>
          <w:color w:val="6E6158"/>
          <w:spacing w:val="32"/>
        </w:rPr>
        <w:t> </w:t>
      </w:r>
      <w:r>
        <w:rPr>
          <w:color w:val="6E6158"/>
        </w:rPr>
        <w:t>natural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industry.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</w:p>
    <w:p>
      <w:pPr>
        <w:pStyle w:val="BodyText"/>
        <w:spacing w:line="302" w:lineRule="auto" w:before="1"/>
        <w:ind w:left="99" w:right="511"/>
      </w:pPr>
      <w:r>
        <w:rPr>
          <w:color w:val="6E6158"/>
        </w:rPr>
        <w:t>domestic and international stakeholders with mineral title opinions and helped secure </w:t>
      </w:r>
      <w:r>
        <w:rPr>
          <w:color w:val="6E6158"/>
        </w:rPr>
        <w:t>successful</w:t>
      </w:r>
      <w:r>
        <w:rPr>
          <w:color w:val="6E6158"/>
          <w:spacing w:val="40"/>
        </w:rPr>
        <w:t> </w:t>
      </w:r>
      <w:r>
        <w:rPr>
          <w:color w:val="6E6158"/>
        </w:rPr>
        <w:t>quiet title actions for mineral rights and hard rock mining claims.</w:t>
      </w:r>
    </w:p>
    <w:p>
      <w:pPr>
        <w:pStyle w:val="BodyText"/>
        <w:spacing w:line="295" w:lineRule="auto" w:before="186"/>
        <w:ind w:left="99" w:right="511"/>
      </w:pPr>
      <w:r>
        <w:rPr>
          <w:color w:val="6E6158"/>
        </w:rPr>
        <w:t>Prior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joining</w:t>
      </w:r>
      <w:r>
        <w:rPr>
          <w:color w:val="6E6158"/>
          <w:spacing w:val="26"/>
        </w:rPr>
        <w:t> </w:t>
      </w:r>
      <w:r>
        <w:rPr>
          <w:color w:val="6E6158"/>
        </w:rPr>
        <w:t>Fennemore,</w:t>
      </w:r>
      <w:r>
        <w:rPr>
          <w:color w:val="6E6158"/>
          <w:spacing w:val="26"/>
        </w:rPr>
        <w:t> </w:t>
      </w:r>
      <w:r>
        <w:rPr>
          <w:color w:val="6E6158"/>
        </w:rPr>
        <w:t>Katie</w:t>
      </w:r>
      <w:r>
        <w:rPr>
          <w:color w:val="6E6158"/>
          <w:spacing w:val="26"/>
        </w:rPr>
        <w:t> </w:t>
      </w:r>
      <w:r>
        <w:rPr>
          <w:color w:val="6E6158"/>
        </w:rPr>
        <w:t>worked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mining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natural</w:t>
      </w:r>
      <w:r>
        <w:rPr>
          <w:color w:val="6E6158"/>
          <w:spacing w:val="26"/>
        </w:rPr>
        <w:t> </w:t>
      </w:r>
      <w:r>
        <w:rPr>
          <w:color w:val="6E6158"/>
        </w:rPr>
        <w:t>resources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Alaska</w:t>
      </w:r>
      <w:r>
        <w:rPr>
          <w:color w:val="6E6158"/>
          <w:spacing w:val="26"/>
        </w:rPr>
        <w:t> </w:t>
      </w:r>
      <w:r>
        <w:rPr>
          <w:color w:val="6E6158"/>
        </w:rPr>
        <w:t>and was</w:t>
      </w:r>
      <w:r>
        <w:rPr>
          <w:color w:val="6E6158"/>
          <w:spacing w:val="30"/>
        </w:rPr>
        <w:t> </w:t>
      </w:r>
      <w:r>
        <w:rPr>
          <w:color w:val="6E6158"/>
        </w:rPr>
        <w:t>instrumental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launching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first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team</w:t>
      </w:r>
      <w:r>
        <w:rPr>
          <w:color w:val="6E6158"/>
          <w:spacing w:val="30"/>
        </w:rPr>
        <w:t> </w:t>
      </w:r>
      <w:r>
        <w:rPr>
          <w:color w:val="6E6158"/>
        </w:rPr>
        <w:t>at</w:t>
      </w:r>
      <w:r>
        <w:rPr>
          <w:color w:val="6E6158"/>
          <w:spacing w:val="30"/>
        </w:rPr>
        <w:t> </w:t>
      </w:r>
      <w:r>
        <w:rPr>
          <w:color w:val="6E6158"/>
        </w:rPr>
        <w:t>another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Northwest firm. Before her legal career, she conducted policy research on global energy terrorism for a national think tank and led strategic projects for a quasi-public energy utility on critical</w:t>
      </w:r>
      <w:r>
        <w:rPr>
          <w:color w:val="6E6158"/>
          <w:spacing w:val="40"/>
        </w:rPr>
        <w:t> </w:t>
      </w:r>
      <w:r>
        <w:rPr>
          <w:color w:val="6E6158"/>
        </w:rPr>
        <w:t>infrastructure cybersecurity, enterprise risk management, and business continuity and resilience.</w:t>
      </w:r>
      <w:r>
        <w:rPr>
          <w:color w:val="6E6158"/>
          <w:spacing w:val="40"/>
        </w:rPr>
        <w:t> </w:t>
      </w:r>
      <w:r>
        <w:rPr>
          <w:color w:val="6E6158"/>
        </w:rPr>
        <w:t>Katie leverages her professional and legal background to help natural resources clients </w:t>
      </w:r>
      <w:r>
        <w:rPr>
          <w:color w:val="6E6158"/>
        </w:rPr>
        <w:t>achieve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while mitigating legal risks.</w:t>
      </w:r>
    </w:p>
    <w:p>
      <w:pPr>
        <w:pStyle w:val="BodyText"/>
        <w:spacing w:line="295" w:lineRule="auto" w:before="199"/>
        <w:ind w:left="99" w:right="670"/>
      </w:pPr>
      <w:r>
        <w:rPr>
          <w:color w:val="6E6158"/>
        </w:rPr>
        <w:t>Katie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actively</w:t>
      </w:r>
      <w:r>
        <w:rPr>
          <w:color w:val="6E6158"/>
          <w:spacing w:val="21"/>
        </w:rPr>
        <w:t> </w:t>
      </w:r>
      <w:r>
        <w:rPr>
          <w:color w:val="6E6158"/>
        </w:rPr>
        <w:t>involved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Idaho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natural</w:t>
      </w:r>
      <w:r>
        <w:rPr>
          <w:color w:val="6E6158"/>
          <w:spacing w:val="21"/>
        </w:rPr>
        <w:t> </w:t>
      </w:r>
      <w:r>
        <w:rPr>
          <w:color w:val="6E6158"/>
        </w:rPr>
        <w:t>resources</w:t>
      </w:r>
      <w:r>
        <w:rPr>
          <w:color w:val="6E6158"/>
          <w:spacing w:val="21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</w:rPr>
        <w:t>communities.</w:t>
      </w:r>
      <w:r>
        <w:rPr>
          <w:color w:val="6E6158"/>
          <w:spacing w:val="21"/>
        </w:rPr>
        <w:t> </w:t>
      </w:r>
      <w:r>
        <w:rPr>
          <w:color w:val="6E6158"/>
        </w:rPr>
        <w:t>Between</w:t>
      </w:r>
      <w:r>
        <w:rPr>
          <w:color w:val="6E6158"/>
          <w:spacing w:val="21"/>
        </w:rPr>
        <w:t> </w:t>
      </w:r>
      <w:r>
        <w:rPr>
          <w:color w:val="6E6158"/>
        </w:rPr>
        <w:t>2022-2024, she served as the Chief Symposium Editor and Associate Editor of the Idaho Law Review,</w:t>
      </w:r>
      <w:r>
        <w:rPr>
          <w:color w:val="6E6158"/>
          <w:spacing w:val="40"/>
        </w:rPr>
        <w:t> </w:t>
      </w:r>
      <w:r>
        <w:rPr>
          <w:color w:val="6E6158"/>
        </w:rPr>
        <w:t>which awarded her the Outstanding Writing Award for her published Comment on interstate water law in 2023. In 2024, she organized the Idaho Law Review Water Law Symposium in Boise,</w:t>
      </w:r>
      <w:r>
        <w:rPr>
          <w:color w:val="6E6158"/>
          <w:spacing w:val="40"/>
        </w:rPr>
        <w:t> </w:t>
      </w:r>
      <w:r>
        <w:rPr>
          <w:color w:val="6E6158"/>
        </w:rPr>
        <w:t>Idaho, an event that drew national legal scholars, judges, former cabinet members and</w:t>
      </w:r>
      <w:r>
        <w:rPr>
          <w:color w:val="6E6158"/>
          <w:spacing w:val="40"/>
        </w:rPr>
        <w:t> </w:t>
      </w:r>
      <w:r>
        <w:rPr>
          <w:color w:val="6E6158"/>
        </w:rPr>
        <w:t>attorneys to engage on state and federal water issues. Katie is a current member of the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Resources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Energy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Idaho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Water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5"/>
        <w:ind w:left="99" w:right="511"/>
      </w:pPr>
      <w:r>
        <w:rPr>
          <w:color w:val="6E6158"/>
        </w:rPr>
        <w:t>Environmental and Natural Resources Law Sections. As a career military spouse, Katie also enjoys</w:t>
      </w:r>
      <w:r>
        <w:rPr>
          <w:color w:val="6E6158"/>
          <w:spacing w:val="40"/>
        </w:rPr>
        <w:t> </w:t>
      </w:r>
      <w:r>
        <w:rPr>
          <w:color w:val="6E6158"/>
        </w:rPr>
        <w:t>assisting America’s Veterans on a pro bono basis.</w:t>
      </w:r>
    </w:p>
    <w:p>
      <w:pPr>
        <w:pStyle w:val="BodyText"/>
        <w:spacing w:line="292" w:lineRule="auto" w:before="196"/>
        <w:ind w:left="99" w:right="869"/>
      </w:pPr>
      <w:r>
        <w:rPr>
          <w:color w:val="6E6158"/>
        </w:rPr>
        <w:t>Outside of her professional work, Katie enjoys spending time outdoors with her family and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German Shorthaired Pointer, Ellie Mae.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5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152553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098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416086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2714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B.A., University of Vermont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157928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341pt;width:1.65pt;height:1.65pt;mso-position-horizontal-relative:page;mso-position-vertical-relative:paragraph;z-index:15730176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7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1712" id="docshape12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2224" id="docshape13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80"/>
        </w:rPr>
        <w:t> </w:t>
      </w:r>
      <w:r>
        <w:rPr>
          <w:color w:val="6E6158"/>
        </w:rPr>
        <w:t>Mining Law Advanced Energy Water Law</w:t>
      </w:r>
    </w:p>
    <w:p>
      <w:pPr>
        <w:pStyle w:val="Heading1"/>
        <w:spacing w:before="3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76pt;width:1.65pt;height:1.65pt;mso-position-horizontal-relative:page;mso-position-vertical-relative:paragraph;z-index:15732736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Energy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Scholarship</w:t>
      </w:r>
      <w:r>
        <w:rPr>
          <w:color w:val="6E6158"/>
          <w:spacing w:val="11"/>
        </w:rPr>
        <w:t> </w:t>
      </w:r>
      <w:r>
        <w:rPr>
          <w:color w:val="6E6158"/>
        </w:rPr>
        <w:t>Winner,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268028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4568pt;width:1.65pt;height:1.65pt;mso-position-horizontal-relative:page;mso-position-vertical-relative:paragraph;z-index:15733248" id="docshape1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Oral Argument Semi-Finalist, University of Idaho College of Law Annual </w:t>
      </w:r>
      <w:r>
        <w:rPr>
          <w:color w:val="6E6158"/>
        </w:rPr>
        <w:t>McNichols Competition,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136142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9865pt;width:1.65pt;height:1.65pt;mso-position-horizontal-relative:page;mso-position-vertical-relative:paragraph;z-index:15733760" id="docshape16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175462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909pt;width:1.65pt;height:1.65pt;mso-position-horizontal-relative:page;mso-position-vertical-relative:paragraph;z-index:15734272" id="docshape1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Army</w:t>
      </w:r>
      <w:r>
        <w:rPr>
          <w:color w:val="6E6158"/>
          <w:spacing w:val="12"/>
        </w:rPr>
        <w:t> </w:t>
      </w:r>
      <w:r>
        <w:rPr>
          <w:color w:val="6E6158"/>
        </w:rPr>
        <w:t>Commander’s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Civilian</w:t>
      </w:r>
      <w:r>
        <w:rPr>
          <w:color w:val="6E6158"/>
          <w:spacing w:val="12"/>
        </w:rPr>
        <w:t> </w:t>
      </w:r>
      <w:r>
        <w:rPr>
          <w:color w:val="6E6158"/>
        </w:rPr>
        <w:t>Service,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283" w:lineRule="auto" w:before="145"/>
        <w:ind w:left="351" w:right="5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338907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85604pt;width:1.65pt;height:1.65pt;mso-position-horizontal-relative:page;mso-position-vertical-relative:paragraph;z-index:15734784" id="docshape18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pacing w:val="-2"/>
          <w:sz w:val="20"/>
        </w:rPr>
        <w:t>Leveraging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‘Law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River’: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Legal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History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Upstream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from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Crisis &amp; its Lessons for the Coeur d’Alene-Spokane River Basin, </w:t>
      </w:r>
      <w:r>
        <w:rPr>
          <w:color w:val="6E6158"/>
          <w:sz w:val="19"/>
        </w:rPr>
        <w:t>Idaho Law Review, 60 Idaho L. Rev. 427, Nov. 1, 2024</w:t>
      </w:r>
    </w:p>
    <w:p>
      <w:pPr>
        <w:pStyle w:val="BodyText"/>
        <w:spacing w:before="1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149188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47121pt;width:1.65pt;height:1.65pt;mso-position-horizontal-relative:page;mso-position-vertical-relative:paragraph;z-index:15735296" id="docshape19" coordorigin="1670,235" coordsize="33,33" path="m1691,267l1682,267,1678,266,1671,260,1670,256,1670,247,1671,243,1678,237,1682,235,1691,235,1694,237,1701,243,1702,247,1702,251,1702,256,1701,260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Acknowledged</w:t>
      </w:r>
      <w:r>
        <w:rPr>
          <w:color w:val="6E6158"/>
          <w:spacing w:val="15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Assistant,</w:t>
      </w:r>
      <w:r>
        <w:rPr>
          <w:color w:val="6E6158"/>
          <w:spacing w:val="16"/>
        </w:rPr>
        <w:t> </w:t>
      </w:r>
      <w:r>
        <w:rPr>
          <w:color w:val="6E6158"/>
        </w:rPr>
        <w:t>Cohen’s</w:t>
      </w:r>
      <w:r>
        <w:rPr>
          <w:color w:val="6E6158"/>
          <w:spacing w:val="16"/>
        </w:rPr>
        <w:t> </w:t>
      </w:r>
      <w:r>
        <w:rPr>
          <w:color w:val="6E6158"/>
        </w:rPr>
        <w:t>Handbook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Indian</w:t>
      </w:r>
      <w:r>
        <w:rPr>
          <w:color w:val="6E6158"/>
          <w:spacing w:val="16"/>
        </w:rPr>
        <w:t> </w:t>
      </w:r>
      <w:r>
        <w:rPr>
          <w:color w:val="6E6158"/>
        </w:rPr>
        <w:t>Law,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152732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161pt;width:1.65pt;height:1.65pt;mso-position-horizontal-relative:page;mso-position-vertical-relative:paragraph;z-index:15735808" id="docshape20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Natural</w:t>
      </w:r>
      <w:r>
        <w:rPr>
          <w:color w:val="6E6158"/>
          <w:spacing w:val="12"/>
        </w:rPr>
        <w:t> </w:t>
      </w:r>
      <w:r>
        <w:rPr>
          <w:color w:val="6E6158"/>
        </w:rPr>
        <w:t>Resources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Energy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(FNREL)</w:t>
      </w:r>
    </w:p>
    <w:p>
      <w:pPr>
        <w:pStyle w:val="BodyText"/>
        <w:spacing w:line="292" w:lineRule="auto" w:before="174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262838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5927pt;width:1.65pt;height:1.65pt;mso-position-horizontal-relative:page;mso-position-vertical-relative:paragraph;z-index:15736320" id="docshape21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Foundation for Natural Resources and Energy Law (FNREL), Young </w:t>
      </w:r>
      <w:r>
        <w:rPr>
          <w:color w:val="6E6158"/>
        </w:rPr>
        <w:t>Professionals </w:t>
      </w:r>
      <w:r>
        <w:rPr>
          <w:color w:val="6E6158"/>
          <w:spacing w:val="-2"/>
        </w:rPr>
        <w:t>Committee</w:t>
      </w:r>
    </w:p>
    <w:p>
      <w:pPr>
        <w:pStyle w:val="BodyText"/>
        <w:spacing w:line="420" w:lineRule="auto" w:before="131"/>
        <w:ind w:right="38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142786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052pt;width:1.65pt;height:1.65pt;mso-position-horizontal-relative:page;mso-position-vertical-relative:paragraph;z-index:15736832" id="docshape2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401152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6794pt;width:1.65pt;height:1.65pt;mso-position-horizontal-relative:page;mso-position-vertical-relative:paragraph;z-index:15737344" id="docshape23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664685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3741pt;width:1.65pt;height:1.65pt;mso-position-horizontal-relative:page;mso-position-vertical-relative:paragraph;z-index:15737856" id="docshape24" coordorigin="1670,1047" coordsize="33,33" path="m1691,1079l1682,1079,1678,1078,1671,1071,1670,1068,1670,1059,1671,1055,1678,1048,1682,1047,1691,1047,1694,1048,1701,1055,1702,1059,1702,1063,1702,1068,1701,1071,1694,1078,1691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Exploration and Mining Association (AEMA) Women in Mining (National &amp; Idaho Chapter </w:t>
      </w:r>
      <w:r>
        <w:rPr>
          <w:color w:val="6E6158"/>
        </w:rPr>
        <w:t>Member) Idaho Veteran’s Law Society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157817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554pt;width:1.65pt;height:1.65pt;mso-position-horizontal-relative:page;mso-position-vertical-relative:paragraph;z-index:15738368" id="docshape25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174911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592pt;width:1.65pt;height:1.65pt;mso-position-horizontal-relative:page;mso-position-vertical-relative:paragraph;z-index:15738880" id="docshape2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sheftic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Sheftic - Fennemore</dc:title>
  <dcterms:created xsi:type="dcterms:W3CDTF">2025-11-21T19:35:34Z</dcterms:created>
  <dcterms:modified xsi:type="dcterms:W3CDTF">2025-11-21T19:35:34Z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m142</vt:lpwstr>
  </property>
</Properties>
</file>