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ickDyerAI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69392" y="763308"/>
                            <a:ext cx="15817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NICHOLAS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N.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DYER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68863" y="2500373"/>
                            <a:ext cx="1382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ndyer@fennemorelaw.com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NickDyerAI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72;top:-3887;width:249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NICHOLAS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N.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DYER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303.764.3704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428;top:-1151;width:217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ndyer@fennemorelaw.com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NICHOLAS</w:t>
      </w:r>
      <w:r>
        <w:rPr>
          <w:color w:val="FF8100"/>
          <w:spacing w:val="8"/>
        </w:rPr>
        <w:t> </w:t>
      </w:r>
      <w:r>
        <w:rPr>
          <w:color w:val="FF8100"/>
        </w:rPr>
        <w:t>N.</w:t>
      </w:r>
      <w:r>
        <w:rPr>
          <w:color w:val="FF8100"/>
          <w:spacing w:val="8"/>
        </w:rPr>
        <w:t> </w:t>
      </w:r>
      <w:r>
        <w:rPr>
          <w:color w:val="FF8100"/>
          <w:spacing w:val="-4"/>
        </w:rPr>
        <w:t>DYER</w:t>
      </w:r>
    </w:p>
    <w:p>
      <w:pPr>
        <w:pStyle w:val="BodyText"/>
        <w:spacing w:line="297" w:lineRule="auto" w:before="146"/>
        <w:ind w:left="99" w:right="158"/>
      </w:pPr>
      <w:r>
        <w:rPr>
          <w:color w:val="6E6158"/>
        </w:rPr>
        <w:t>Nicholas N. Dyer is a transactional attorney in Fennemore’s Real Estate and Corporate practice</w:t>
      </w:r>
      <w:r>
        <w:rPr>
          <w:color w:val="6E6158"/>
          <w:spacing w:val="40"/>
        </w:rPr>
        <w:t> </w:t>
      </w:r>
      <w:r>
        <w:rPr>
          <w:color w:val="6E6158"/>
        </w:rPr>
        <w:t>groups with more than $5 billion in aggregate deal volume. Nick’s practice focuses on complex</w:t>
      </w:r>
      <w:r>
        <w:rPr>
          <w:color w:val="6E6158"/>
          <w:spacing w:val="40"/>
        </w:rPr>
        <w:t> </w:t>
      </w:r>
      <w:r>
        <w:rPr>
          <w:color w:val="6E6158"/>
        </w:rPr>
        <w:t>real estate and corporate matters with an emphasis on all aspects of planned residential, </w:t>
      </w:r>
      <w:r>
        <w:rPr>
          <w:color w:val="6E6158"/>
        </w:rPr>
        <w:t>mixed</w:t>
      </w:r>
      <w:r>
        <w:rPr>
          <w:color w:val="6E6158"/>
          <w:spacing w:val="40"/>
        </w:rPr>
        <w:t> </w:t>
      </w:r>
      <w:r>
        <w:rPr>
          <w:color w:val="6E6158"/>
        </w:rPr>
        <w:t>use,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projects,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luxury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  <w:r>
        <w:rPr>
          <w:color w:val="6E6158"/>
          <w:spacing w:val="40"/>
        </w:rPr>
        <w:t> </w:t>
      </w:r>
      <w:r>
        <w:rPr>
          <w:color w:val="6E6158"/>
        </w:rPr>
        <w:t>property purchase and sale transactions, borrower and lender-side institutional and private lending,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leasing,</w:t>
      </w:r>
      <w:r>
        <w:rPr>
          <w:color w:val="6E6158"/>
          <w:spacing w:val="35"/>
        </w:rPr>
        <w:t> </w:t>
      </w:r>
      <w:r>
        <w:rPr>
          <w:color w:val="6E6158"/>
        </w:rPr>
        <w:t>and,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corporate</w:t>
      </w:r>
      <w:r>
        <w:rPr>
          <w:color w:val="6E6158"/>
          <w:spacing w:val="35"/>
        </w:rPr>
        <w:t> </w:t>
      </w:r>
      <w:r>
        <w:rPr>
          <w:color w:val="6E6158"/>
        </w:rPr>
        <w:t>side,</w:t>
      </w:r>
      <w:r>
        <w:rPr>
          <w:color w:val="6E6158"/>
          <w:spacing w:val="35"/>
        </w:rPr>
        <w:t> </w:t>
      </w:r>
      <w:r>
        <w:rPr>
          <w:color w:val="6E6158"/>
        </w:rPr>
        <w:t>mergers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acquisitions,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divorces,</w:t>
      </w:r>
    </w:p>
    <w:p>
      <w:pPr>
        <w:pStyle w:val="BodyText"/>
        <w:spacing w:line="292" w:lineRule="auto"/>
        <w:ind w:left="99" w:right="158"/>
      </w:pPr>
      <w:r>
        <w:rPr>
          <w:color w:val="6E6158"/>
        </w:rPr>
        <w:t>investment entity formation, corporate and partnership governance, and serving as </w:t>
      </w:r>
      <w:r>
        <w:rPr>
          <w:color w:val="6E6158"/>
        </w:rPr>
        <w:t>outside</w:t>
      </w:r>
      <w:r>
        <w:rPr>
          <w:color w:val="6E6158"/>
          <w:spacing w:val="40"/>
        </w:rPr>
        <w:t> </w:t>
      </w:r>
      <w:r>
        <w:rPr>
          <w:color w:val="6E6158"/>
        </w:rPr>
        <w:t>general counsel to clients across multiple industries.</w:t>
      </w:r>
    </w:p>
    <w:p>
      <w:pPr>
        <w:pStyle w:val="BodyText"/>
        <w:spacing w:before="189"/>
        <w:ind w:left="99"/>
      </w:pPr>
      <w:r>
        <w:rPr>
          <w:color w:val="6E6158"/>
        </w:rPr>
        <w:t>Nick’s</w:t>
      </w:r>
      <w:r>
        <w:rPr>
          <w:color w:val="6E6158"/>
          <w:spacing w:val="15"/>
        </w:rPr>
        <w:t> </w:t>
      </w:r>
      <w:r>
        <w:rPr>
          <w:color w:val="6E6158"/>
        </w:rPr>
        <w:t>representative</w:t>
      </w:r>
      <w:r>
        <w:rPr>
          <w:color w:val="6E6158"/>
          <w:spacing w:val="16"/>
        </w:rPr>
        <w:t> </w:t>
      </w:r>
      <w:r>
        <w:rPr>
          <w:color w:val="6E6158"/>
        </w:rPr>
        <w:t>work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includes:</w:t>
      </w:r>
    </w:p>
    <w:p>
      <w:pPr>
        <w:pStyle w:val="BodyText"/>
        <w:spacing w:before="22"/>
      </w:pPr>
    </w:p>
    <w:p>
      <w:pPr>
        <w:pStyle w:val="BodyText"/>
        <w:spacing w:line="295" w:lineRule="auto"/>
        <w:ind w:left="351" w:right="4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426573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588448pt;width:1.65pt;height:1.65pt;mso-position-horizontal-relative:page;mso-position-vertical-relative:paragraph;z-index:15729152" id="docshape11" coordorigin="1670,672" coordsize="33,33" path="m1691,704l1682,704,1678,703,1671,696,1670,693,1670,684,1671,680,1678,673,1682,672,1691,672,1694,673,1701,680,1702,684,1702,688,1702,693,1701,696,1694,703,1691,7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u w:val="single" w:color="6E6158"/>
        </w:rPr>
        <w:t>Development</w:t>
      </w:r>
      <w:r>
        <w:rPr>
          <w:color w:val="6E6158"/>
          <w:u w:val="none"/>
        </w:rPr>
        <w:t>: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Advising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developers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regarding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entire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life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cycle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of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mixed-use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master-planned community projects from land use planning, site acquisitions, public improvement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and mentro districts, drafting property covenants, conditions and restrictions (CCRs) for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residential and commercial property, joint development agreements, construction and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construction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management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contracts,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through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eventual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sales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developer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exits.</w:t>
      </w:r>
    </w:p>
    <w:p>
      <w:pPr>
        <w:pStyle w:val="BodyText"/>
        <w:spacing w:line="292" w:lineRule="auto" w:before="12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322930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757pt;width:1.65pt;height:1.65pt;mso-position-horizontal-relative:page;mso-position-vertical-relative:paragraph;z-index:15729664" id="docshape12" coordorigin="1670,509" coordsize="33,33" path="m1691,541l1682,541,1678,540,1671,533,1670,529,1670,520,1671,516,1678,510,1682,509,1691,509,1694,510,1701,516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u w:val="single" w:color="6E6158"/>
        </w:rPr>
        <w:t>Acquisitions and Sales</w:t>
      </w:r>
      <w:r>
        <w:rPr>
          <w:b/>
          <w:color w:val="6E6158"/>
          <w:u w:val="none"/>
        </w:rPr>
        <w:t>: </w:t>
      </w:r>
      <w:r>
        <w:rPr>
          <w:color w:val="6E6158"/>
          <w:u w:val="none"/>
        </w:rPr>
        <w:t>Counseling both buyers and sellers of commercial, industrial and </w:t>
      </w:r>
      <w:r>
        <w:rPr>
          <w:color w:val="6E6158"/>
          <w:u w:val="none"/>
        </w:rPr>
        <w:t>luxury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residential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real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estate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ranging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from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a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few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million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dollars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up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to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$450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million+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a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single</w:t>
      </w:r>
    </w:p>
    <w:p>
      <w:pPr>
        <w:pStyle w:val="BodyText"/>
        <w:spacing w:before="9"/>
        <w:ind w:left="351"/>
      </w:pPr>
      <w:r>
        <w:rPr>
          <w:color w:val="6E6158"/>
          <w:spacing w:val="-2"/>
        </w:rPr>
        <w:t>transaction.</w:t>
      </w:r>
    </w:p>
    <w:p>
      <w:pPr>
        <w:pStyle w:val="BodyText"/>
        <w:spacing w:line="295" w:lineRule="auto"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536980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2.281948pt;width:1.65pt;height:1.65pt;mso-position-horizontal-relative:page;mso-position-vertical-relative:paragraph;z-index:15730176" id="docshape13" coordorigin="1670,846" coordsize="33,33" path="m1691,878l1682,878,1678,877,1671,870,1670,866,1670,857,1671,854,1678,847,1682,846,1691,846,1694,847,1701,854,1702,857,1702,862,1702,866,1701,870,1694,877,1691,8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u w:val="single" w:color="6E6158"/>
        </w:rPr>
        <w:t>Finance: </w:t>
      </w:r>
      <w:r>
        <w:rPr>
          <w:color w:val="6E6158"/>
          <w:u w:val="none"/>
        </w:rPr>
        <w:t>Representing borrowers and lenders with respect to both institutional and </w:t>
      </w:r>
      <w:r>
        <w:rPr>
          <w:color w:val="6E6158"/>
          <w:u w:val="none"/>
        </w:rPr>
        <w:t>customized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private financing of up to $225 million in a single loan. Nick also has assisted his clients with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structuring and implementing highly complex and uniquely customized line of credit loans,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construction loans, tax-exempt bond offerings, ground leases, and other transactions to raise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capital or free liquidity.</w:t>
      </w:r>
    </w:p>
    <w:p>
      <w:pPr>
        <w:spacing w:before="122"/>
        <w:ind w:left="351" w:right="0" w:firstLine="0"/>
        <w:jc w:val="left"/>
        <w:rPr>
          <w:sz w:val="19"/>
        </w:rPr>
      </w:pPr>
      <w:r>
        <w:rPr>
          <w:b/>
          <w:color w:val="6E6158"/>
          <w:sz w:val="19"/>
          <w:u w:val="single" w:color="6E6158"/>
        </w:rPr>
        <w:t>Commercial</w:t>
      </w:r>
      <w:r>
        <w:rPr>
          <w:b/>
          <w:color w:val="6E6158"/>
          <w:spacing w:val="14"/>
          <w:sz w:val="19"/>
          <w:u w:val="single" w:color="6E6158"/>
        </w:rPr>
        <w:t> </w:t>
      </w:r>
      <w:r>
        <w:rPr>
          <w:b/>
          <w:color w:val="6E6158"/>
          <w:sz w:val="19"/>
          <w:u w:val="single" w:color="6E6158"/>
        </w:rPr>
        <w:t>Leasin</w:t>
      </w:r>
      <w:r>
        <w:rPr>
          <w:b/>
          <w:color w:val="6E6158"/>
          <w:sz w:val="19"/>
          <w:u w:val="none"/>
        </w:rPr>
        <w:t>g</w:t>
      </w:r>
      <w:r>
        <w:rPr>
          <w:color w:val="6E6158"/>
          <w:sz w:val="19"/>
          <w:u w:val="none"/>
        </w:rPr>
        <w:t>:</w:t>
      </w:r>
      <w:r>
        <w:rPr>
          <w:color w:val="6E6158"/>
          <w:spacing w:val="15"/>
          <w:sz w:val="19"/>
          <w:u w:val="none"/>
        </w:rPr>
        <w:t> </w:t>
      </w:r>
      <w:r>
        <w:rPr>
          <w:color w:val="6E6158"/>
          <w:sz w:val="19"/>
          <w:u w:val="none"/>
        </w:rPr>
        <w:t>Finding</w:t>
      </w:r>
      <w:r>
        <w:rPr>
          <w:color w:val="6E6158"/>
          <w:spacing w:val="14"/>
          <w:sz w:val="19"/>
          <w:u w:val="none"/>
        </w:rPr>
        <w:t> </w:t>
      </w:r>
      <w:r>
        <w:rPr>
          <w:color w:val="6E6158"/>
          <w:sz w:val="19"/>
          <w:u w:val="none"/>
        </w:rPr>
        <w:t>solutions</w:t>
      </w:r>
      <w:r>
        <w:rPr>
          <w:color w:val="6E6158"/>
          <w:spacing w:val="15"/>
          <w:sz w:val="19"/>
          <w:u w:val="none"/>
        </w:rPr>
        <w:t> </w:t>
      </w:r>
      <w:r>
        <w:rPr>
          <w:color w:val="6E6158"/>
          <w:sz w:val="19"/>
          <w:u w:val="none"/>
        </w:rPr>
        <w:t>for</w:t>
      </w:r>
      <w:r>
        <w:rPr>
          <w:color w:val="6E6158"/>
          <w:spacing w:val="14"/>
          <w:sz w:val="19"/>
          <w:u w:val="none"/>
        </w:rPr>
        <w:t> </w:t>
      </w:r>
      <w:r>
        <w:rPr>
          <w:color w:val="6E6158"/>
          <w:sz w:val="19"/>
          <w:u w:val="none"/>
        </w:rPr>
        <w:t>landlords</w:t>
      </w:r>
      <w:r>
        <w:rPr>
          <w:color w:val="6E6158"/>
          <w:spacing w:val="15"/>
          <w:sz w:val="19"/>
          <w:u w:val="none"/>
        </w:rPr>
        <w:t> </w:t>
      </w:r>
      <w:r>
        <w:rPr>
          <w:color w:val="6E6158"/>
          <w:sz w:val="19"/>
          <w:u w:val="none"/>
        </w:rPr>
        <w:t>and</w:t>
      </w:r>
      <w:r>
        <w:rPr>
          <w:color w:val="6E6158"/>
          <w:spacing w:val="14"/>
          <w:sz w:val="19"/>
          <w:u w:val="none"/>
        </w:rPr>
        <w:t> </w:t>
      </w:r>
      <w:r>
        <w:rPr>
          <w:color w:val="6E6158"/>
          <w:sz w:val="19"/>
          <w:u w:val="none"/>
        </w:rPr>
        <w:t>tenants</w:t>
      </w:r>
      <w:r>
        <w:rPr>
          <w:color w:val="6E6158"/>
          <w:spacing w:val="15"/>
          <w:sz w:val="19"/>
          <w:u w:val="none"/>
        </w:rPr>
        <w:t> </w:t>
      </w:r>
      <w:r>
        <w:rPr>
          <w:color w:val="6E6158"/>
          <w:sz w:val="19"/>
          <w:u w:val="none"/>
        </w:rPr>
        <w:t>with</w:t>
      </w:r>
      <w:r>
        <w:rPr>
          <w:color w:val="6E6158"/>
          <w:spacing w:val="14"/>
          <w:sz w:val="19"/>
          <w:u w:val="none"/>
        </w:rPr>
        <w:t> </w:t>
      </w:r>
      <w:r>
        <w:rPr>
          <w:color w:val="6E6158"/>
          <w:sz w:val="19"/>
          <w:u w:val="none"/>
        </w:rPr>
        <w:t>commercial</w:t>
      </w:r>
      <w:r>
        <w:rPr>
          <w:color w:val="6E6158"/>
          <w:spacing w:val="15"/>
          <w:sz w:val="19"/>
          <w:u w:val="none"/>
        </w:rPr>
        <w:t> </w:t>
      </w:r>
      <w:r>
        <w:rPr>
          <w:color w:val="6E6158"/>
          <w:spacing w:val="-2"/>
          <w:sz w:val="19"/>
          <w:u w:val="none"/>
        </w:rPr>
        <w:t>leases,</w:t>
      </w:r>
    </w:p>
    <w:p>
      <w:pPr>
        <w:pStyle w:val="BodyText"/>
        <w:spacing w:line="302" w:lineRule="auto" w:before="52"/>
        <w:ind w:left="351" w:right="22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97451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3368pt;width:1.65pt;height:1.65pt;mso-position-horizontal-relative:page;mso-position-vertical-relative:paragraph;z-index:15730688" id="docshape14" coordorigin="1670,153" coordsize="33,33" path="m1691,186l1682,186,1678,184,1671,178,1670,174,1670,165,1671,161,1678,155,1682,153,1691,153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subleases, enforcement and workouts across a spectrum of asset classes that include Class A office,</w:t>
      </w:r>
      <w:r>
        <w:rPr>
          <w:color w:val="6E6158"/>
          <w:spacing w:val="35"/>
        </w:rPr>
        <w:t> </w:t>
      </w:r>
      <w:r>
        <w:rPr>
          <w:color w:val="6E6158"/>
        </w:rPr>
        <w:t>indoor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outdoor</w:t>
      </w:r>
      <w:r>
        <w:rPr>
          <w:color w:val="6E6158"/>
          <w:spacing w:val="35"/>
        </w:rPr>
        <w:t> </w:t>
      </w:r>
      <w:r>
        <w:rPr>
          <w:color w:val="6E6158"/>
        </w:rPr>
        <w:t>storage</w:t>
      </w:r>
      <w:r>
        <w:rPr>
          <w:color w:val="6E6158"/>
          <w:spacing w:val="35"/>
        </w:rPr>
        <w:t> </w:t>
      </w:r>
      <w:r>
        <w:rPr>
          <w:color w:val="6E6158"/>
        </w:rPr>
        <w:t>facilities,</w:t>
      </w:r>
      <w:r>
        <w:rPr>
          <w:color w:val="6E6158"/>
          <w:spacing w:val="35"/>
        </w:rPr>
        <w:t> </w:t>
      </w:r>
      <w:r>
        <w:rPr>
          <w:color w:val="6E6158"/>
        </w:rPr>
        <w:t>medical</w:t>
      </w:r>
      <w:r>
        <w:rPr>
          <w:color w:val="6E6158"/>
          <w:spacing w:val="35"/>
        </w:rPr>
        <w:t> </w:t>
      </w:r>
      <w:r>
        <w:rPr>
          <w:color w:val="6E6158"/>
        </w:rPr>
        <w:t>facilities,</w:t>
      </w:r>
      <w:r>
        <w:rPr>
          <w:color w:val="6E6158"/>
          <w:spacing w:val="35"/>
        </w:rPr>
        <w:t> </w:t>
      </w:r>
      <w:r>
        <w:rPr>
          <w:color w:val="6E6158"/>
        </w:rPr>
        <w:t>industrial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ground</w:t>
      </w:r>
      <w:r>
        <w:rPr>
          <w:color w:val="6E6158"/>
          <w:spacing w:val="35"/>
        </w:rPr>
        <w:t> </w:t>
      </w:r>
      <w:r>
        <w:rPr>
          <w:color w:val="6E6158"/>
        </w:rPr>
        <w:t>leases.</w:t>
      </w:r>
    </w:p>
    <w:p>
      <w:pPr>
        <w:pStyle w:val="BodyText"/>
        <w:spacing w:line="292" w:lineRule="auto" w:before="112"/>
        <w:ind w:left="351" w:right="2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595937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924252pt;width:1.65pt;height:1.65pt;mso-position-horizontal-relative:page;mso-position-vertical-relative:paragraph;z-index:15731200" id="docshape15" coordorigin="1670,938" coordsize="33,33" path="m1691,971l1682,971,1678,969,1671,963,1670,959,1670,950,1671,946,1678,940,1682,938,1691,938,1694,940,1701,946,1702,950,1702,955,1702,959,1701,963,1694,969,1691,9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u w:val="single" w:color="6E6158"/>
        </w:rPr>
        <w:t>Co</w:t>
      </w:r>
      <w:r>
        <w:rPr>
          <w:b/>
          <w:color w:val="6E6158"/>
          <w:u w:val="none"/>
        </w:rPr>
        <w:t>r</w:t>
      </w:r>
      <w:r>
        <w:rPr>
          <w:b/>
          <w:color w:val="6E6158"/>
          <w:u w:val="single" w:color="6E6158"/>
        </w:rPr>
        <w:t>porate Structuring and Mergers and Acquisitions</w:t>
      </w:r>
      <w:r>
        <w:rPr>
          <w:color w:val="6E6158"/>
          <w:u w:val="none"/>
        </w:rPr>
        <w:t>: Serving clients’ corporate needs both </w:t>
      </w:r>
      <w:r>
        <w:rPr>
          <w:color w:val="6E6158"/>
          <w:u w:val="none"/>
        </w:rPr>
        <w:t>in the context of separate real estate transactions as well as general governance, compliance and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contracting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matters.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Nick’s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experience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includes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representing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buyers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sellers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in</w:t>
      </w:r>
    </w:p>
    <w:p>
      <w:pPr>
        <w:pStyle w:val="BodyText"/>
        <w:spacing w:after="0" w:line="292" w:lineRule="auto"/>
        <w:jc w:val="both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351"/>
      </w:pPr>
      <w:r>
        <w:rPr>
          <w:color w:val="6E6158"/>
        </w:rPr>
        <w:t>complex asset purchase transactions, mergers, formation and structuring of special </w:t>
      </w:r>
      <w:r>
        <w:rPr>
          <w:color w:val="6E6158"/>
        </w:rPr>
        <w:t>purpose</w:t>
      </w:r>
      <w:r>
        <w:rPr>
          <w:color w:val="6E6158"/>
          <w:spacing w:val="40"/>
        </w:rPr>
        <w:t> </w:t>
      </w:r>
      <w:r>
        <w:rPr>
          <w:color w:val="6E6158"/>
        </w:rPr>
        <w:t>entities and more.</w:t>
      </w:r>
    </w:p>
    <w:p>
      <w:pPr>
        <w:pStyle w:val="BodyText"/>
        <w:spacing w:line="292" w:lineRule="auto" w:before="132"/>
        <w:ind w:left="351" w:right="1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417047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38398pt;width:1.65pt;height:1.65pt;mso-position-horizontal-relative:page;mso-position-vertical-relative:paragraph;z-index:15731712" id="docshape16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u w:val="single" w:color="6E6158"/>
        </w:rPr>
        <w:t>Tax</w:t>
      </w:r>
      <w:r>
        <w:rPr>
          <w:b/>
          <w:color w:val="6E6158"/>
          <w:spacing w:val="21"/>
          <w:u w:val="single" w:color="6E6158"/>
        </w:rPr>
        <w:t> </w:t>
      </w:r>
      <w:r>
        <w:rPr>
          <w:b/>
          <w:color w:val="6E6158"/>
          <w:u w:val="single" w:color="6E6158"/>
        </w:rPr>
        <w:t>Exempt</w:t>
      </w:r>
      <w:r>
        <w:rPr>
          <w:b/>
          <w:color w:val="6E6158"/>
          <w:spacing w:val="21"/>
          <w:u w:val="single" w:color="6E6158"/>
        </w:rPr>
        <w:t> </w:t>
      </w:r>
      <w:r>
        <w:rPr>
          <w:b/>
          <w:color w:val="6E6158"/>
          <w:u w:val="single" w:color="6E6158"/>
        </w:rPr>
        <w:t>Entities</w:t>
      </w:r>
      <w:r>
        <w:rPr>
          <w:color w:val="6E6158"/>
          <w:u w:val="single" w:color="6E6158"/>
        </w:rPr>
        <w:t>:</w:t>
      </w:r>
      <w:r>
        <w:rPr>
          <w:color w:val="6E6158"/>
          <w:spacing w:val="21"/>
          <w:u w:val="single" w:color="6E6158"/>
        </w:rPr>
        <w:t> </w:t>
      </w:r>
      <w:r>
        <w:rPr>
          <w:color w:val="6E6158"/>
          <w:u w:val="none"/>
        </w:rPr>
        <w:t>Assisting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nonprofit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clients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with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a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range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of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matters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including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formation of multiple 501(c)(3) charitable, educational and religious entities, 501(c)(4) social welfare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organizations, trade organizations, private foundations and more with respect to </w:t>
      </w:r>
      <w:r>
        <w:rPr>
          <w:color w:val="6E6158"/>
          <w:u w:val="none"/>
        </w:rPr>
        <w:t>compliance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matters,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governance,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real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estate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transactions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general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outside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counsel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advice.</w:t>
      </w:r>
    </w:p>
    <w:p>
      <w:pPr>
        <w:pStyle w:val="BodyText"/>
        <w:spacing w:line="288" w:lineRule="auto" w:before="196"/>
        <w:ind w:left="99" w:right="158"/>
      </w:pPr>
      <w:r>
        <w:rPr>
          <w:color w:val="6E6158"/>
        </w:rPr>
        <w:t>Nick earned his law degree from Harvard Law School and his Bachelor of Arts in English,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z w:val="20"/>
        </w:rPr>
        <w:t> cum laude</w:t>
      </w:r>
      <w:r>
        <w:rPr>
          <w:color w:val="6E6158"/>
        </w:rPr>
        <w:t>, from Utah State University. He is licensed to practice in Colorado and Utah. Deeply committed to community engagement, Nick has served on the boards of several Colorado</w:t>
      </w:r>
      <w:r>
        <w:rPr>
          <w:color w:val="6E6158"/>
          <w:spacing w:val="40"/>
        </w:rPr>
        <w:t> </w:t>
      </w:r>
      <w:r>
        <w:rPr>
          <w:color w:val="6E6158"/>
        </w:rPr>
        <w:t>nonprofit organizations focused on youth, education, and public service.</w:t>
      </w:r>
    </w:p>
    <w:p>
      <w:pPr>
        <w:pStyle w:val="BodyText"/>
        <w:spacing w:line="292" w:lineRule="auto" w:before="205"/>
        <w:ind w:left="99" w:right="415"/>
      </w:pPr>
      <w:r>
        <w:rPr>
          <w:color w:val="6E6158"/>
        </w:rPr>
        <w:t>Outside of his legal work, Nick enjoys backpacking, yoga, caring for his collection </w:t>
      </w:r>
      <w:r>
        <w:rPr>
          <w:color w:val="6E6158"/>
        </w:rPr>
        <w:t>of houseplants, and watching cheesy films.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157927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224pt;width:1.65pt;height:1.65pt;mso-position-horizontal-relative:page;mso-position-vertical-relative:paragraph;z-index:15732224" id="docshape17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Harvard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School</w:t>
      </w:r>
    </w:p>
    <w:p>
      <w:pPr>
        <w:spacing w:before="17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175022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269pt;width:1.65pt;height:1.65pt;mso-position-horizontal-relative:page;mso-position-vertical-relative:paragraph;z-index:15732736" id="docshape1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Utah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magna 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8"/>
        <w:rPr>
          <w:i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7" w:lineRule="auto"/>
        <w:ind w:left="351" w:right="68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64696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4213pt;width:1.65pt;height:1.65pt;mso-position-horizontal-relative:page;mso-position-vertical-relative:paragraph;z-index:15733248" id="docshape19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323061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7935pt;width:1.65pt;height:1.65pt;mso-position-horizontal-relative:page;mso-position-vertical-relative:paragraph;z-index:15733760" id="docshape20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</w:t>
      </w:r>
      <w:r>
        <w:rPr>
          <w:color w:val="6E6158"/>
        </w:rPr>
        <w:t>Finance </w:t>
      </w:r>
      <w:r>
        <w:rPr>
          <w:color w:val="6E6158"/>
          <w:spacing w:val="-2"/>
        </w:rPr>
        <w:t>Corporate</w:t>
      </w:r>
    </w:p>
    <w:p>
      <w:pPr>
        <w:pStyle w:val="BodyText"/>
        <w:spacing w:line="420" w:lineRule="auto"/>
        <w:ind w:left="351" w:right="68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59979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2822pt;width:1.65pt;height:1.65pt;mso-position-horizontal-relative:page;mso-position-vertical-relative:paragraph;z-index:15734272" id="docshape21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318345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66565pt;width:1.65pt;height:1.65pt;mso-position-horizontal-relative:page;mso-position-vertical-relative:paragraph;z-index:15734784" id="docshape22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Tax-Exempt </w:t>
      </w:r>
      <w:r>
        <w:rPr>
          <w:color w:val="6E6158"/>
        </w:rPr>
        <w:t>Entities Real Estate</w:t>
      </w:r>
    </w:p>
    <w:p>
      <w:pPr>
        <w:pStyle w:val="Heading2"/>
        <w:spacing w:before="16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left="351" w:right="4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245908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2888pt;width:1.65pt;height:1.65pt;mso-position-horizontal-relative:page;mso-position-vertical-relative:paragraph;z-index:15735296" id="docshape23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Director, 5280 High School, a Denver public charter school with a </w:t>
      </w:r>
      <w:r>
        <w:rPr>
          <w:color w:val="6E6158"/>
        </w:rPr>
        <w:t>specialized curriculum track focused on helping youth suffering from addiction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143001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999pt;width:1.65pt;height:1.65pt;mso-position-horizontal-relative:page;mso-position-vertical-relative:paragraph;z-index:15735808" id="docshape2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Founding</w:t>
      </w:r>
      <w:r>
        <w:rPr>
          <w:color w:val="6E6158"/>
          <w:spacing w:val="13"/>
        </w:rPr>
        <w:t> </w:t>
      </w:r>
      <w:r>
        <w:rPr>
          <w:color w:val="6E6158"/>
        </w:rPr>
        <w:t>Director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outside</w:t>
      </w:r>
      <w:r>
        <w:rPr>
          <w:color w:val="6E6158"/>
          <w:spacing w:val="13"/>
        </w:rPr>
        <w:t> </w:t>
      </w:r>
      <w:r>
        <w:rPr>
          <w:color w:val="6E6158"/>
        </w:rPr>
        <w:t>counsel,</w:t>
      </w:r>
      <w:r>
        <w:rPr>
          <w:color w:val="6E6158"/>
          <w:spacing w:val="14"/>
        </w:rPr>
        <w:t> </w:t>
      </w:r>
      <w:r>
        <w:rPr>
          <w:color w:val="6E6158"/>
        </w:rPr>
        <w:t>Fire</w:t>
      </w:r>
      <w:r>
        <w:rPr>
          <w:color w:val="6E6158"/>
          <w:spacing w:val="14"/>
        </w:rPr>
        <w:t> </w:t>
      </w:r>
      <w:r>
        <w:rPr>
          <w:color w:val="6E6158"/>
        </w:rPr>
        <w:t>Foundation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Springs</w:t>
      </w:r>
    </w:p>
    <w:p>
      <w:pPr>
        <w:pStyle w:val="BodyText"/>
        <w:spacing w:line="302" w:lineRule="auto"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782pt;width:1.65pt;height:1.65pt;mso-position-horizontal-relative:page;mso-position-vertical-relative:paragraph;z-index:15736320" id="docshape25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Director, Community Prep School, a Colorado Springs alternative-education </w:t>
      </w:r>
      <w:r>
        <w:rPr>
          <w:color w:val="6E6158"/>
        </w:rPr>
        <w:t>campus public charter school for at-risk high school students</w:t>
      </w:r>
    </w:p>
    <w:p>
      <w:pPr>
        <w:pStyle w:val="BodyText"/>
        <w:spacing w:line="292" w:lineRule="auto" w:before="113"/>
        <w:ind w:left="351" w:right="4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224307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995pt;width:1.65pt;height:1.65pt;mso-position-horizontal-relative:page;mso-position-vertical-relative:paragraph;z-index:15736832" id="docshape2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Director, The Place (f/k/a) Urban Peak Colorado Springs, a shelter for </w:t>
      </w:r>
      <w:r>
        <w:rPr>
          <w:color w:val="6E6158"/>
        </w:rPr>
        <w:t>youth experiencing homelessness</w:t>
      </w:r>
    </w:p>
    <w:p>
      <w:pPr>
        <w:pStyle w:val="Heading2"/>
        <w:spacing w:before="285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54"/>
        <w:ind w:left="351" w:right="77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157542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4909pt;width:1.65pt;height:1.65pt;mso-position-horizontal-relative:page;mso-position-vertical-relative:paragraph;z-index:15737344" id="docshape2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415907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8653pt;width:1.65pt;height:1.65pt;mso-position-horizontal-relative:page;mso-position-vertical-relative:paragraph;z-index:15737856" id="docshape2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</w:t>
      </w:r>
      <w:r>
        <w:rPr>
          <w:color w:val="6E6158"/>
          <w:spacing w:val="-4"/>
        </w:rPr>
        <w:t>Utah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ndy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N. Dyer - Fennemore</dc:title>
  <dcterms:created xsi:type="dcterms:W3CDTF">2025-11-18T19:28:22Z</dcterms:created>
  <dcterms:modified xsi:type="dcterms:W3CDTF">2025-11-18T19:28:22Z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2025-11-18T00:00:00Z</vt:filetime>
  </property>
  <property fmtid="{D5CDD505-2E9C-101B-9397-08002B2CF9AE}" pid="5" name="Producer">
    <vt:lpwstr>Skia/PDF m142</vt:lpwstr>
  </property>
</Properties>
</file>