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OBIN KLOMPAREN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50176" y="763308"/>
                            <a:ext cx="16198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9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ROBIN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L.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KLOMPARENS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07384" y="2500373"/>
                            <a:ext cx="17056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rklomparens@fennemorelaw.com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ROBIN KLOMPARENS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42;top:-3887;width:2551;height:1731" type="#_x0000_t202" id="docshape6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9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ROBIN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L.</w:t>
                        </w:r>
                      </w:p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KLOMPARENS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174;top:-1151;width:268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rklomparens@fennemorelaw.com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ROBIN</w:t>
      </w:r>
      <w:r>
        <w:rPr>
          <w:color w:val="FF8100"/>
          <w:spacing w:val="5"/>
        </w:rPr>
        <w:t> </w:t>
      </w:r>
      <w:r>
        <w:rPr>
          <w:color w:val="FF8100"/>
        </w:rPr>
        <w:t>L.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KLOMPARENS</w:t>
      </w:r>
    </w:p>
    <w:p>
      <w:pPr>
        <w:pStyle w:val="BodyText"/>
        <w:spacing w:line="295" w:lineRule="auto" w:before="146"/>
        <w:ind w:left="99" w:right="340"/>
      </w:pPr>
      <w:r>
        <w:rPr>
          <w:color w:val="6E6158"/>
        </w:rPr>
        <w:t>Robin Klomparens is a tax attorney with a finance degree from the Warrington College of</w:t>
      </w:r>
      <w:r>
        <w:rPr>
          <w:color w:val="6E6158"/>
          <w:spacing w:val="80"/>
        </w:rPr>
        <w:t> </w:t>
      </w:r>
      <w:r>
        <w:rPr>
          <w:color w:val="6E6158"/>
        </w:rPr>
        <w:t>Business at University of Florida and a Juris Doctorate and LL.M. in Taxation from the University of</w:t>
      </w:r>
      <w:r>
        <w:rPr>
          <w:color w:val="6E6158"/>
          <w:spacing w:val="40"/>
        </w:rPr>
        <w:t> </w:t>
      </w:r>
      <w:r>
        <w:rPr>
          <w:color w:val="6E6158"/>
        </w:rPr>
        <w:t>Miami. Admitted to the Florida Bar in 1986 and the California Bar in 1987, she also practices</w:t>
      </w:r>
      <w:r>
        <w:rPr>
          <w:color w:val="6E6158"/>
          <w:spacing w:val="40"/>
        </w:rPr>
        <w:t> </w:t>
      </w:r>
      <w:r>
        <w:rPr>
          <w:color w:val="6E6158"/>
        </w:rPr>
        <w:t>before the U.S. Tax Court and the U.S. Supreme Court. Her achievements include receiving the</w:t>
      </w:r>
      <w:r>
        <w:rPr>
          <w:color w:val="6E6158"/>
          <w:spacing w:val="40"/>
        </w:rPr>
        <w:t> </w:t>
      </w:r>
      <w:r>
        <w:rPr>
          <w:color w:val="6E6158"/>
        </w:rPr>
        <w:t>Joanne Garvey Lifetime Achievement Award in 2019.</w:t>
      </w:r>
    </w:p>
    <w:p>
      <w:pPr>
        <w:pStyle w:val="BodyText"/>
        <w:spacing w:line="295" w:lineRule="auto" w:before="203"/>
        <w:ind w:left="99"/>
      </w:pPr>
      <w:r>
        <w:rPr>
          <w:color w:val="6E6158"/>
        </w:rPr>
        <w:t>Renowned for her expertise in tax law, Robin excels in navigating complex tax code changes,</w:t>
      </w:r>
      <w:r>
        <w:rPr>
          <w:color w:val="6E6158"/>
          <w:spacing w:val="40"/>
        </w:rPr>
        <w:t> </w:t>
      </w:r>
      <w:r>
        <w:rPr>
          <w:color w:val="6E6158"/>
        </w:rPr>
        <w:t>providing</w:t>
      </w:r>
      <w:r>
        <w:rPr>
          <w:color w:val="6E6158"/>
          <w:spacing w:val="33"/>
        </w:rPr>
        <w:t> </w:t>
      </w:r>
      <w:r>
        <w:rPr>
          <w:color w:val="6E6158"/>
        </w:rPr>
        <w:t>her</w:t>
      </w:r>
      <w:r>
        <w:rPr>
          <w:color w:val="6E6158"/>
          <w:spacing w:val="33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up-to-date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effective</w:t>
      </w:r>
      <w:r>
        <w:rPr>
          <w:color w:val="6E6158"/>
          <w:spacing w:val="33"/>
        </w:rPr>
        <w:t> </w:t>
      </w:r>
      <w:r>
        <w:rPr>
          <w:color w:val="6E6158"/>
        </w:rPr>
        <w:t>legal</w:t>
      </w:r>
      <w:r>
        <w:rPr>
          <w:color w:val="6E6158"/>
          <w:spacing w:val="33"/>
        </w:rPr>
        <w:t> </w:t>
      </w:r>
      <w:r>
        <w:rPr>
          <w:color w:val="6E6158"/>
        </w:rPr>
        <w:t>counsel.</w:t>
      </w:r>
      <w:r>
        <w:rPr>
          <w:color w:val="6E6158"/>
          <w:spacing w:val="33"/>
        </w:rPr>
        <w:t> </w:t>
      </w:r>
      <w:r>
        <w:rPr>
          <w:color w:val="6E6158"/>
        </w:rPr>
        <w:t>She</w:t>
      </w:r>
      <w:r>
        <w:rPr>
          <w:color w:val="6E6158"/>
          <w:spacing w:val="33"/>
        </w:rPr>
        <w:t> </w:t>
      </w:r>
      <w:r>
        <w:rPr>
          <w:color w:val="6E6158"/>
        </w:rPr>
        <w:t>has</w:t>
      </w:r>
      <w:r>
        <w:rPr>
          <w:color w:val="6E6158"/>
          <w:spacing w:val="33"/>
        </w:rPr>
        <w:t> </w:t>
      </w:r>
      <w:r>
        <w:rPr>
          <w:color w:val="6E6158"/>
        </w:rPr>
        <w:t>contributed significantly to legal education as an adjunct professor at USF’s LLM program, Golden Gate</w:t>
      </w:r>
      <w:r>
        <w:rPr>
          <w:color w:val="6E6158"/>
          <w:spacing w:val="40"/>
        </w:rPr>
        <w:t> </w:t>
      </w:r>
      <w:r>
        <w:rPr>
          <w:color w:val="6E6158"/>
        </w:rPr>
        <w:t>University’s MS program, and currently at McGeorge School of Law. A prior member and current</w:t>
      </w:r>
      <w:r>
        <w:rPr>
          <w:color w:val="6E6158"/>
          <w:spacing w:val="40"/>
        </w:rPr>
        <w:t> </w:t>
      </w:r>
      <w:r>
        <w:rPr>
          <w:color w:val="6E6158"/>
        </w:rPr>
        <w:t>advisor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CLA’s</w:t>
      </w:r>
      <w:r>
        <w:rPr>
          <w:color w:val="6E6158"/>
          <w:spacing w:val="28"/>
        </w:rPr>
        <w:t> </w:t>
      </w:r>
      <w:r>
        <w:rPr>
          <w:color w:val="6E6158"/>
        </w:rPr>
        <w:t>Tax</w:t>
      </w:r>
      <w:r>
        <w:rPr>
          <w:color w:val="6E6158"/>
          <w:spacing w:val="28"/>
        </w:rPr>
        <w:t> </w:t>
      </w:r>
      <w:r>
        <w:rPr>
          <w:color w:val="6E6158"/>
        </w:rPr>
        <w:t>Section</w:t>
      </w:r>
      <w:r>
        <w:rPr>
          <w:color w:val="6E6158"/>
          <w:spacing w:val="28"/>
        </w:rPr>
        <w:t> </w:t>
      </w:r>
      <w:r>
        <w:rPr>
          <w:color w:val="6E6158"/>
        </w:rPr>
        <w:t>Executive</w:t>
      </w:r>
      <w:r>
        <w:rPr>
          <w:color w:val="6E6158"/>
          <w:spacing w:val="28"/>
        </w:rPr>
        <w:t> </w:t>
      </w:r>
      <w:r>
        <w:rPr>
          <w:color w:val="6E6158"/>
        </w:rPr>
        <w:t>Committee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Gift</w:t>
      </w:r>
      <w:r>
        <w:rPr>
          <w:color w:val="6E6158"/>
          <w:spacing w:val="28"/>
        </w:rPr>
        <w:t> </w:t>
      </w:r>
      <w:r>
        <w:rPr>
          <w:color w:val="6E6158"/>
        </w:rPr>
        <w:t>Committee,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a member of ACTEC, she also contributes to various charitable boards. Her extensive lecturing and</w:t>
      </w:r>
      <w:r>
        <w:rPr>
          <w:color w:val="6E6158"/>
          <w:spacing w:val="40"/>
        </w:rPr>
        <w:t> </w:t>
      </w:r>
      <w:r>
        <w:rPr>
          <w:color w:val="6E6158"/>
        </w:rPr>
        <w:t>publications further establish her knowledge in tax law.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157664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4548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L.L.</w:t>
      </w:r>
      <w:r>
        <w:rPr>
          <w:color w:val="6E6158"/>
          <w:spacing w:val="8"/>
        </w:rPr>
        <w:t> </w:t>
      </w:r>
      <w:r>
        <w:rPr>
          <w:color w:val="6E6158"/>
        </w:rPr>
        <w:t>M.,</w:t>
      </w:r>
      <w:r>
        <w:rPr>
          <w:color w:val="6E6158"/>
          <w:spacing w:val="8"/>
        </w:rPr>
        <w:t> </w:t>
      </w:r>
      <w:r>
        <w:rPr>
          <w:color w:val="6E6158"/>
        </w:rPr>
        <w:t>Taxation,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Miami</w:t>
      </w:r>
    </w:p>
    <w:p>
      <w:pPr>
        <w:pStyle w:val="BodyText"/>
        <w:spacing w:line="420" w:lineRule="auto" w:before="173"/>
        <w:ind w:right="51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169679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60586pt;width:1.65pt;height:1.65pt;mso-position-horizontal-relative:page;mso-position-vertical-relative:paragraph;z-index:15729664" id="docshape12" coordorigin="1670,267" coordsize="33,33" path="m1691,300l1682,300,1678,298,1671,292,1670,288,1670,279,1671,275,1678,269,1682,267,1691,267,1694,269,1701,275,1702,279,1702,283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433212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1202pt;width:1.65pt;height:1.65pt;mso-position-horizontal-relative:page;mso-position-vertical-relative:paragraph;z-index:15730176" id="docshape13" coordorigin="1670,682" coordsize="33,33" path="m1691,715l1682,715,1678,713,1671,707,1670,703,1670,694,1671,690,1678,684,1682,682,1691,682,1694,684,1701,690,1702,694,1702,698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Miami, School of </w:t>
      </w:r>
      <w:r>
        <w:rPr>
          <w:color w:val="6E6158"/>
        </w:rPr>
        <w:t>Law</w:t>
      </w:r>
      <w:r>
        <w:rPr>
          <w:color w:val="6E6158"/>
        </w:rPr>
        <w:t> B.S., B.A., University of Florida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right="69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157909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852pt;width:1.65pt;height:1.65pt;mso-position-horizontal-relative:page;mso-position-vertical-relative:paragraph;z-index:15730688" id="docshape14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416275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7596pt;width:1.65pt;height:1.65pt;mso-position-horizontal-relative:page;mso-position-vertical-relative:paragraph;z-index:15731200" id="docshape15" coordorigin="1670,656" coordsize="33,33" path="m1691,688l1682,688,1678,687,1671,680,1670,676,1670,667,1671,663,1678,657,1682,656,1691,656,1694,657,1701,663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679808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52821pt;width:1.65pt;height:1.65pt;mso-position-horizontal-relative:page;mso-position-vertical-relative:paragraph;z-index:15731712" id="docshape16" coordorigin="1670,1071" coordsize="33,33" path="m1691,1103l1682,1103,1678,1102,1671,1095,1670,1091,1670,1082,1671,1079,1678,1072,1682,1071,1691,1071,1694,1072,1701,1079,1702,1082,1702,1087,1702,1091,1701,1095,1694,1102,1691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Business &amp; </w:t>
      </w:r>
      <w:r>
        <w:rPr>
          <w:color w:val="6E6158"/>
        </w:rPr>
        <w:t>Finance Estate Litigation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63780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2095pt;width:1.65pt;height:1.65pt;mso-position-horizontal-relative:page;mso-position-vertical-relative:paragraph;z-index:15732224" id="docshape17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82"/>
        <w:ind w:right="69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175004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89pt;width:1.65pt;height:1.65pt;mso-position-horizontal-relative:page;mso-position-vertical-relative:paragraph;z-index:15732736" id="docshape1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433370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3634pt;width:1.65pt;height:1.65pt;mso-position-horizontal-relative:page;mso-position-vertical-relative:paragraph;z-index:15733248" id="docshape19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Planning Cannabis </w:t>
      </w:r>
      <w:r>
        <w:rPr>
          <w:color w:val="6E6158"/>
        </w:rPr>
        <w:t>Business</w:t>
      </w: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3760" id="docshape2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Joanne</w:t>
      </w:r>
      <w:r>
        <w:rPr>
          <w:color w:val="6E6158"/>
          <w:spacing w:val="13"/>
        </w:rPr>
        <w:t> </w:t>
      </w:r>
      <w:r>
        <w:rPr>
          <w:color w:val="6E6158"/>
        </w:rPr>
        <w:t>Garvey</w:t>
      </w:r>
      <w:r>
        <w:rPr>
          <w:color w:val="6E6158"/>
          <w:spacing w:val="13"/>
        </w:rPr>
        <w:t> </w:t>
      </w:r>
      <w:r>
        <w:rPr>
          <w:color w:val="6E6158"/>
        </w:rPr>
        <w:t>Distinguished</w:t>
      </w:r>
      <w:r>
        <w:rPr>
          <w:color w:val="6E6158"/>
          <w:spacing w:val="13"/>
        </w:rPr>
        <w:t> </w:t>
      </w:r>
      <w:r>
        <w:rPr>
          <w:color w:val="6E6158"/>
        </w:rPr>
        <w:t>Lifetime</w:t>
      </w:r>
      <w:r>
        <w:rPr>
          <w:color w:val="6E6158"/>
          <w:spacing w:val="13"/>
        </w:rPr>
        <w:t> </w:t>
      </w:r>
      <w:r>
        <w:rPr>
          <w:color w:val="6E6158"/>
        </w:rPr>
        <w:t>Achievement</w:t>
      </w:r>
      <w:r>
        <w:rPr>
          <w:color w:val="6E6158"/>
          <w:spacing w:val="13"/>
        </w:rPr>
        <w:t> </w:t>
      </w:r>
      <w:r>
        <w:rPr>
          <w:color w:val="6E6158"/>
        </w:rPr>
        <w:t>Award,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7" w:lineRule="auto" w:before="174"/>
        <w:ind w:right="7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4272" id="docshape2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433703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849pt;width:1.65pt;height:1.65pt;mso-position-horizontal-relative:page;mso-position-vertical-relative:paragraph;z-index:15734784" id="docshape22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V. Judson Klein Award for Outstanding Achievement in Taxation, State Bar of California AV Preeminent 5.0 Peer Review Rated by Martindale-Hubbell</w:t>
      </w:r>
    </w:p>
    <w:p>
      <w:pPr>
        <w:pStyle w:val="Heading1"/>
        <w:spacing w:before="154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245710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7303pt;width:1.65pt;height:1.65pt;mso-position-horizontal-relative:page;mso-position-vertical-relative:paragraph;z-index:15735296" id="docshape23" coordorigin="1670,387" coordsize="33,33" path="m1691,419l1682,419,1678,418,1671,412,1670,408,1670,399,1671,395,1678,389,1682,387,1691,387,1694,389,1701,395,1702,399,1702,403,1702,408,1701,412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</w:t>
      </w:r>
      <w:hyperlink r:id="rId11">
        <w:r>
          <w:rPr>
            <w:color w:val="F5821F"/>
          </w:rPr>
          <w:t>Estate Planning for the Real Estate and Agricultural Property Owner (E&amp;G)</w:t>
        </w:r>
      </w:hyperlink>
      <w:r>
        <w:rPr>
          <w:color w:val="6E6158"/>
        </w:rPr>
        <w:t>,” 2025 California All-Tax Conference, California Lawyers Association, November 14, 2025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235815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182pt;width:1.65pt;height:1.65pt;mso-position-horizontal-relative:page;mso-position-vertical-relative:paragraph;z-index:15735808" id="docshape2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Preparing for Tax Evolution: What Changes to the Tax Cuts and Jobs Act Means for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Businesses and Individuals in 2025</w:t>
        </w:r>
      </w:hyperlink>
      <w:r>
        <w:rPr>
          <w:color w:val="6E6158"/>
        </w:rPr>
        <w:t>,” Fennemore Blog, January 28, 2025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224159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0383pt;width:1.65pt;height:1.65pt;mso-position-horizontal-relative:page;mso-position-vertical-relative:paragraph;z-index:15736320" id="docshape25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Varying economic climates could impact how you navigate estate </w:t>
        </w:r>
        <w:r>
          <w:rPr>
            <w:color w:val="F5821F"/>
          </w:rPr>
          <w:t>planning</w:t>
        </w:r>
      </w:hyperlink>
      <w:r>
        <w:rPr>
          <w:color w:val="6E6158"/>
        </w:rPr>
        <w:t>,” Sacramento Business Journal, August 7, 2024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142843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7496pt;width:1.65pt;height:1.65pt;mso-position-horizontal-relative:page;mso-position-vertical-relative:paragraph;z-index:15736832" id="docshape26" coordorigin="1670,225" coordsize="33,33" path="m1691,257l1682,257,1678,256,1671,250,1670,246,1670,237,1671,233,1678,227,1682,225,1691,225,1694,227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8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The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Future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Filing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Taxes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Explained</w:t>
        </w:r>
      </w:hyperlink>
      <w:r>
        <w:rPr>
          <w:color w:val="6E6158"/>
        </w:rPr>
        <w:t>,”</w:t>
      </w:r>
      <w:r>
        <w:rPr>
          <w:color w:val="6E6158"/>
          <w:spacing w:val="9"/>
        </w:rPr>
        <w:t> </w:t>
      </w:r>
      <w:r>
        <w:rPr>
          <w:color w:val="6E6158"/>
        </w:rPr>
        <w:t>Fennemore</w:t>
      </w:r>
      <w:r>
        <w:rPr>
          <w:color w:val="6E6158"/>
          <w:spacing w:val="9"/>
        </w:rPr>
        <w:t> </w:t>
      </w:r>
      <w:r>
        <w:rPr>
          <w:color w:val="6E6158"/>
        </w:rPr>
        <w:t>Blog,</w:t>
      </w:r>
      <w:r>
        <w:rPr>
          <w:color w:val="6E6158"/>
          <w:spacing w:val="8"/>
        </w:rPr>
        <w:t> </w:t>
      </w:r>
      <w:r>
        <w:rPr>
          <w:color w:val="6E6158"/>
        </w:rPr>
        <w:t>April</w:t>
      </w:r>
      <w:r>
        <w:rPr>
          <w:color w:val="6E6158"/>
          <w:spacing w:val="9"/>
        </w:rPr>
        <w:t> </w:t>
      </w:r>
      <w:r>
        <w:rPr>
          <w:color w:val="6E6158"/>
        </w:rPr>
        <w:t>4,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right="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268189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7304pt;width:1.65pt;height:1.65pt;mso-position-horizontal-relative:page;mso-position-vertical-relative:paragraph;z-index:15737344" id="docshape27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“From Death to Distribution,” 2024 Estate and Gift Tax Conference, California Lawyers Association, March 21, 2024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143056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4314pt;width:1.65pt;height:1.65pt;mso-position-horizontal-relative:page;mso-position-vertical-relative:paragraph;z-index:15737856" id="docshape2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“Corporate</w:t>
      </w:r>
      <w:r>
        <w:rPr>
          <w:color w:val="6E6158"/>
          <w:spacing w:val="11"/>
        </w:rPr>
        <w:t> </w:t>
      </w:r>
      <w:r>
        <w:rPr>
          <w:color w:val="6E6158"/>
        </w:rPr>
        <w:t>Transparency</w:t>
      </w:r>
      <w:r>
        <w:rPr>
          <w:color w:val="6E6158"/>
          <w:spacing w:val="11"/>
        </w:rPr>
        <w:t> </w:t>
      </w:r>
      <w:r>
        <w:rPr>
          <w:color w:val="6E6158"/>
        </w:rPr>
        <w:t>Act,”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</w:rPr>
        <w:t>Newsletter,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19,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right="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268403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4108pt;width:1.65pt;height:1.65pt;mso-position-horizontal-relative:page;mso-position-vertical-relative:paragraph;z-index:15738368" id="docshape29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Senate Bill 131 Closes Loophole for Incomplete Gift Non-Grantor </w:t>
      </w:r>
      <w:r>
        <w:rPr>
          <w:color w:val="6E6158"/>
        </w:rPr>
        <w:t>Trusts (“INGs”),” Firm Newsletter, July 18, 2023</w:t>
      </w:r>
    </w:p>
    <w:p>
      <w:pPr>
        <w:pStyle w:val="BodyText"/>
        <w:spacing w:line="292" w:lineRule="auto" w:before="124"/>
        <w:ind w:right="2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231116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8139pt;width:1.65pt;height:1.65pt;mso-position-horizontal-relative:page;mso-position-vertical-relative:paragraph;z-index:15738880" id="docshape30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“Proposition 19 Brings Substantial Changes to California’s Property Tax Assessment Rules,” Firm Newsletter, December 16, 2020</w:t>
      </w:r>
    </w:p>
    <w:p>
      <w:pPr>
        <w:pStyle w:val="BodyText"/>
        <w:spacing w:line="292" w:lineRule="auto" w:before="131"/>
        <w:ind w:right="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235826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987pt;width:1.65pt;height:1.65pt;mso-position-horizontal-relative:page;mso-position-vertical-relative:paragraph;z-index:15739392" id="docshape31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v. Texas – Now is the Time to Consider Filing a Protective Claim for Refund,” Firm Newsletter, July 13, 2020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302" w:lineRule="auto"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250642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35636pt;width:1.65pt;height:1.65pt;mso-position-horizontal-relative:page;mso-position-vertical-relative:paragraph;z-index:15739904" id="docshape32" coordorigin="1670,395" coordsize="33,33" path="m1691,427l1682,427,1678,426,1671,419,1670,415,1670,406,1671,403,1678,396,1682,395,1691,395,1694,396,1701,403,1702,406,1702,411,1702,415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 American College of Trusts and Estates Counsel Fellow, Tax Policy and Business Law Committees, 2018-present</w:t>
      </w:r>
    </w:p>
    <w:p>
      <w:pPr>
        <w:pStyle w:val="BodyText"/>
        <w:spacing w:line="420" w:lineRule="auto" w:before="113"/>
        <w:ind w:right="55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131369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4033pt;width:1.65pt;height:1.65pt;mso-position-horizontal-relative:page;mso-position-vertical-relative:paragraph;z-index:15740416" id="docshape33" coordorigin="1670,207" coordsize="33,33" path="m1691,239l1682,239,1678,238,1671,231,1670,228,1670,219,1671,215,1678,208,1682,207,1691,207,1694,208,1701,215,1702,219,1702,223,1702,228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394902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94673pt;width:1.65pt;height:1.65pt;mso-position-horizontal-relative:page;mso-position-vertical-relative:paragraph;z-index:15740928" id="docshape34" coordorigin="1670,622" coordsize="33,33" path="m1691,654l1682,654,1678,653,1671,646,1670,643,1670,634,1671,630,1678,623,1682,622,1691,622,1694,623,1701,630,1702,634,1702,638,1702,643,1701,646,1694,653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Florida Member, State Bar of </w:t>
      </w:r>
      <w:r>
        <w:rPr>
          <w:color w:val="6E6158"/>
        </w:rPr>
        <w:t>California</w:t>
      </w:r>
    </w:p>
    <w:p>
      <w:pPr>
        <w:pStyle w:val="BodyText"/>
        <w:spacing w:line="422" w:lineRule="auto"/>
        <w:ind w:right="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63772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1448pt;width:1.65pt;height:1.65pt;mso-position-horizontal-relative:page;mso-position-vertical-relative:paragraph;z-index:15741440" id="docshape35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322137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5191pt;width:1.65pt;height:1.65pt;mso-position-horizontal-relative:page;mso-position-vertical-relative:paragraph;z-index:15741952" id="docshape36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580503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08958pt;width:1.65pt;height:1.65pt;mso-position-horizontal-relative:page;mso-position-vertical-relative:paragraph;z-index:15742464" id="docshape37" coordorigin="1670,914" coordsize="33,33" path="m1691,947l1682,947,1678,945,1671,939,1670,935,1670,926,1671,922,1678,916,1682,914,1691,914,1694,916,1701,922,1702,926,1702,930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844036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459572pt;width:1.65pt;height:1.65pt;mso-position-horizontal-relative:page;mso-position-vertical-relative:paragraph;z-index:15742976" id="docshape38" coordorigin="1670,1329" coordsize="33,33" path="m1691,1362l1682,1362,1678,1360,1671,1354,1670,1350,1670,1341,1671,1337,1678,1331,1682,1329,1691,1329,1694,1331,1701,1337,1702,1341,1702,1345,1702,1350,1701,1354,1694,1360,1691,13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 Chair, Executive Committee of Taxation Section, State Bar of California (2004-2007)</w:t>
      </w:r>
      <w:r>
        <w:rPr>
          <w:color w:val="6E6158"/>
          <w:spacing w:val="40"/>
        </w:rPr>
        <w:t> </w:t>
      </w:r>
      <w:r>
        <w:rPr>
          <w:color w:val="6E6158"/>
        </w:rPr>
        <w:t>Advisor, Executive Committee of the Taxation Section, State Bar of California (2014 to present) Chair, Estate &amp; Gift Tax Sub-Committee, State Bar of California (multiple years since 2000) Member, American Bar Association</w:t>
      </w:r>
    </w:p>
    <w:p>
      <w:pPr>
        <w:pStyle w:val="BodyText"/>
        <w:spacing w:line="427" w:lineRule="auto"/>
        <w:ind w:right="40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61004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03473pt;width:1.65pt;height:1.65pt;mso-position-horizontal-relative:page;mso-position-vertical-relative:paragraph;z-index:15743488" id="docshape39" coordorigin="1670,96" coordsize="33,33" path="m1691,129l1682,129,1678,127,1671,121,1670,117,1670,108,1671,104,1678,98,1682,96,1691,96,1694,98,1701,104,1702,108,1702,112,1702,117,1701,121,1694,127,1691,1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319369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147217pt;width:1.65pt;height:1.65pt;mso-position-horizontal-relative:page;mso-position-vertical-relative:paragraph;z-index:15744000" id="docshape40" coordorigin="1670,503" coordsize="33,33" path="m1691,535l1682,535,1678,534,1671,528,1670,524,1670,515,1671,511,1678,505,1682,503,1691,503,1694,505,1701,511,1702,515,1702,519,1702,524,1701,528,1694,534,1691,5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Sacramento County Bar </w:t>
      </w:r>
      <w:r>
        <w:rPr>
          <w:color w:val="6E6158"/>
        </w:rPr>
        <w:t>Association Adjunct Professor, McGeorge School of Law</w:t>
      </w:r>
    </w:p>
    <w:p>
      <w:pPr>
        <w:pStyle w:val="Heading1"/>
        <w:spacing w:before="148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75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157834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877pt;width:1.65pt;height:1.65pt;mso-position-horizontal-relative:page;mso-position-vertical-relative:paragraph;z-index:15744512" id="docshape4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416199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1622pt;width:1.65pt;height:1.65pt;mso-position-horizontal-relative:page;mso-position-vertical-relative:paragraph;z-index:15745024" id="docshape42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Florida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63479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8420pt;width:1.65pt;height:1.65pt;mso-position-horizontal-relative:page;mso-position-vertical-relative:paragraph;z-index:15745536" id="docshape43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170109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4458pt;width:1.65pt;height:1.65pt;mso-position-horizontal-relative:page;mso-position-vertical-relative:paragraph;z-index:15746048" id="docshape44" coordorigin="1670,268" coordsize="33,33" path="m1691,300l1682,300,1678,299,1671,292,1670,289,1670,280,1671,276,1678,269,1682,268,1691,268,1694,269,1701,276,1702,280,1702,284,1702,289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rklomparens@fennemorelaw.com" TargetMode="External"/><Relationship Id="rId11" Type="http://schemas.openxmlformats.org/officeDocument/2006/relationships/hyperlink" Target="https://calawyers.org/2025-annual-meeting-of-the-tax-bar-and-tax-policy-conference/schedule/" TargetMode="External"/><Relationship Id="rId12" Type="http://schemas.openxmlformats.org/officeDocument/2006/relationships/hyperlink" Target="https://www.fennemorelaw.com/preparing-for-tax-evolution-what-changes-to-the-tax-cuts-and-jobs-act-means-for-businesses-and-individuals-in-2025/" TargetMode="External"/><Relationship Id="rId13" Type="http://schemas.openxmlformats.org/officeDocument/2006/relationships/hyperlink" Target="https://www.bizjournals.com/sacramento/news/2024/08/07/navigate-estate-planning-economic-climate.html" TargetMode="External"/><Relationship Id="rId14" Type="http://schemas.openxmlformats.org/officeDocument/2006/relationships/hyperlink" Target="https://www.fennemorelaw.com/the-future-of-filing-taxes-explaine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L. Klomparens - Fennemore</dc:title>
  <dcterms:created xsi:type="dcterms:W3CDTF">2025-11-13T17:21:27Z</dcterms:created>
  <dcterms:modified xsi:type="dcterms:W3CDTF">2025-11-13T17:21:27Z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Skia/PDF m142</vt:lpwstr>
  </property>
</Properties>
</file>