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1360" w:right="0" w:firstLine="344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ROGER HEYWOOD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602.916.5303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rheywood@fennemorelaw.com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1360" w:right="0" w:firstLine="344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ROGER HEYWOOD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602.916.5303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rheywood@fennemorelaw.com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ROGER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HEYWOOD</w:t>
      </w:r>
    </w:p>
    <w:p>
      <w:pPr>
        <w:pStyle w:val="BodyText"/>
        <w:spacing w:line="297" w:lineRule="auto" w:before="147"/>
        <w:ind w:left="99" w:right="510"/>
      </w:pPr>
      <w:r>
        <w:rPr>
          <w:color w:val="6E6158"/>
        </w:rPr>
        <w:t>Roger Heywood brings more than four decades of experience helping businesses, families, and</w:t>
      </w:r>
      <w:r>
        <w:rPr>
          <w:color w:val="6E6158"/>
          <w:spacing w:val="40"/>
        </w:rPr>
        <w:t> </w:t>
      </w:r>
      <w:r>
        <w:rPr>
          <w:color w:val="6E6158"/>
        </w:rPr>
        <w:t>entrepreneurs navigate complex legal and financial challenges. Recognized for building lasting</w:t>
      </w:r>
      <w:r>
        <w:rPr>
          <w:color w:val="6E6158"/>
          <w:spacing w:val="40"/>
        </w:rPr>
        <w:t> </w:t>
      </w:r>
      <w:r>
        <w:rPr>
          <w:color w:val="6E6158"/>
        </w:rPr>
        <w:t>client</w:t>
      </w:r>
      <w:r>
        <w:rPr>
          <w:color w:val="6E6158"/>
          <w:spacing w:val="19"/>
        </w:rPr>
        <w:t> </w:t>
      </w:r>
      <w:r>
        <w:rPr>
          <w:color w:val="6E6158"/>
        </w:rPr>
        <w:t>relationships,</w:t>
      </w:r>
      <w:r>
        <w:rPr>
          <w:color w:val="6E6158"/>
          <w:spacing w:val="19"/>
        </w:rPr>
        <w:t> </w:t>
      </w:r>
      <w:r>
        <w:rPr>
          <w:color w:val="6E6158"/>
        </w:rPr>
        <w:t>he</w:t>
      </w:r>
      <w:r>
        <w:rPr>
          <w:color w:val="6E6158"/>
          <w:spacing w:val="19"/>
        </w:rPr>
        <w:t> </w:t>
      </w:r>
      <w:r>
        <w:rPr>
          <w:color w:val="6E6158"/>
        </w:rPr>
        <w:t>delivers</w:t>
      </w:r>
      <w:r>
        <w:rPr>
          <w:color w:val="6E6158"/>
          <w:spacing w:val="19"/>
        </w:rPr>
        <w:t> </w:t>
      </w:r>
      <w:r>
        <w:rPr>
          <w:color w:val="6E6158"/>
        </w:rPr>
        <w:t>practical,</w:t>
      </w:r>
      <w:r>
        <w:rPr>
          <w:color w:val="6E6158"/>
          <w:spacing w:val="19"/>
        </w:rPr>
        <w:t> </w:t>
      </w:r>
      <w:r>
        <w:rPr>
          <w:color w:val="6E6158"/>
        </w:rPr>
        <w:t>tax-efficient</w:t>
      </w:r>
      <w:r>
        <w:rPr>
          <w:color w:val="6E6158"/>
          <w:spacing w:val="19"/>
        </w:rPr>
        <w:t> </w:t>
      </w:r>
      <w:r>
        <w:rPr>
          <w:color w:val="6E6158"/>
        </w:rPr>
        <w:t>strategies</w:t>
      </w:r>
      <w:r>
        <w:rPr>
          <w:color w:val="6E6158"/>
          <w:spacing w:val="19"/>
        </w:rPr>
        <w:t> </w:t>
      </w:r>
      <w:r>
        <w:rPr>
          <w:color w:val="6E6158"/>
        </w:rPr>
        <w:t>for</w:t>
      </w:r>
      <w:r>
        <w:rPr>
          <w:color w:val="6E6158"/>
          <w:spacing w:val="19"/>
        </w:rPr>
        <w:t> </w:t>
      </w:r>
      <w:r>
        <w:rPr>
          <w:color w:val="6E6158"/>
        </w:rPr>
        <w:t>business</w:t>
      </w:r>
      <w:r>
        <w:rPr>
          <w:color w:val="6E6158"/>
          <w:spacing w:val="19"/>
        </w:rPr>
        <w:t> </w:t>
      </w:r>
      <w:r>
        <w:rPr>
          <w:color w:val="6E6158"/>
        </w:rPr>
        <w:t>owners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high-</w:t>
      </w:r>
      <w:r>
        <w:rPr>
          <w:color w:val="6E6158"/>
        </w:rPr>
        <w:t>net-worth individuals. Roger diligently finds solutions to complex business and personal matters,</w:t>
      </w:r>
      <w:r>
        <w:rPr>
          <w:color w:val="6E6158"/>
          <w:spacing w:val="80"/>
        </w:rPr>
        <w:t> </w:t>
      </w:r>
      <w:r>
        <w:rPr>
          <w:color w:val="6E6158"/>
        </w:rPr>
        <w:t>drawing on his deep expertise in tax law, business transactions, real estate development, and</w:t>
      </w:r>
      <w:r>
        <w:rPr>
          <w:color w:val="6E6158"/>
          <w:spacing w:val="40"/>
        </w:rPr>
        <w:t> </w:t>
      </w:r>
      <w:r>
        <w:rPr>
          <w:color w:val="6E6158"/>
        </w:rPr>
        <w:t>sophisticated estate planning.</w:t>
      </w:r>
    </w:p>
    <w:p>
      <w:pPr>
        <w:pStyle w:val="BodyText"/>
        <w:spacing w:line="295" w:lineRule="auto" w:before="187"/>
        <w:ind w:left="99" w:right="737"/>
      </w:pPr>
      <w:r>
        <w:rPr>
          <w:color w:val="6E6158"/>
        </w:rPr>
        <w:t>Before joining Fennemore, Roger served for many years as the primary legal advisor to the</w:t>
      </w:r>
      <w:r>
        <w:rPr>
          <w:color w:val="6E6158"/>
          <w:spacing w:val="40"/>
        </w:rPr>
        <w:t> </w:t>
      </w:r>
      <w:r>
        <w:rPr>
          <w:color w:val="6E6158"/>
        </w:rPr>
        <w:t>founder and owner of a privately held real estate and investment enterprise, overseeing a wide</w:t>
      </w:r>
      <w:r>
        <w:rPr>
          <w:color w:val="6E6158"/>
          <w:spacing w:val="40"/>
        </w:rPr>
        <w:t> </w:t>
      </w:r>
      <w:r>
        <w:rPr>
          <w:color w:val="6E6158"/>
        </w:rPr>
        <w:t>spectrum of legal needs — from corporate governance and business structuring to tax </w:t>
      </w:r>
      <w:r>
        <w:rPr>
          <w:color w:val="6E6158"/>
        </w:rPr>
        <w:t>strategy,</w:t>
      </w:r>
      <w:r>
        <w:rPr>
          <w:color w:val="6E6158"/>
          <w:spacing w:val="40"/>
        </w:rPr>
        <w:t> </w:t>
      </w:r>
      <w:r>
        <w:rPr>
          <w:color w:val="6E6158"/>
        </w:rPr>
        <w:t>real estate development, and succession planning. This experience gives Roger a unique</w:t>
      </w:r>
      <w:r>
        <w:rPr>
          <w:color w:val="6E6158"/>
          <w:spacing w:val="40"/>
        </w:rPr>
        <w:t> </w:t>
      </w:r>
      <w:r>
        <w:rPr>
          <w:color w:val="6E6158"/>
        </w:rPr>
        <w:t>perspective on the intersection of legal, financial, and family dynamics, and shapes the holistic</w:t>
      </w:r>
      <w:r>
        <w:rPr>
          <w:color w:val="6E6158"/>
          <w:spacing w:val="40"/>
        </w:rPr>
        <w:t> </w:t>
      </w:r>
      <w:r>
        <w:rPr>
          <w:color w:val="6E6158"/>
        </w:rPr>
        <w:t>counsel he provides to privately held businesses and high-net-worth individuals.</w:t>
      </w:r>
    </w:p>
    <w:p>
      <w:pPr>
        <w:pStyle w:val="BodyText"/>
        <w:spacing w:before="193"/>
        <w:ind w:left="99"/>
      </w:pPr>
      <w:r>
        <w:rPr>
          <w:color w:val="6E6158"/>
        </w:rPr>
        <w:t>Roger’s</w:t>
      </w:r>
      <w:r>
        <w:rPr>
          <w:color w:val="6E6158"/>
          <w:spacing w:val="10"/>
        </w:rPr>
        <w:t> </w:t>
      </w:r>
      <w:r>
        <w:rPr>
          <w:color w:val="6E6158"/>
        </w:rPr>
        <w:t>work</w:t>
      </w:r>
      <w:r>
        <w:rPr>
          <w:color w:val="6E6158"/>
          <w:spacing w:val="11"/>
        </w:rPr>
        <w:t> </w:t>
      </w:r>
      <w:r>
        <w:rPr>
          <w:color w:val="6E6158"/>
        </w:rPr>
        <w:t>spans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wide</w:t>
      </w:r>
      <w:r>
        <w:rPr>
          <w:color w:val="6E6158"/>
          <w:spacing w:val="11"/>
        </w:rPr>
        <w:t> </w:t>
      </w:r>
      <w:r>
        <w:rPr>
          <w:color w:val="6E6158"/>
        </w:rPr>
        <w:t>range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disciplines,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including:</w:t>
      </w:r>
    </w:p>
    <w:p>
      <w:pPr>
        <w:pStyle w:val="BodyText"/>
        <w:spacing w:before="23"/>
        <w:ind w:left="0"/>
      </w:pPr>
    </w:p>
    <w:p>
      <w:pPr>
        <w:pStyle w:val="BodyText"/>
        <w:spacing w:line="292" w:lineRule="auto"/>
        <w:ind w:right="7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245382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21432pt;width:1.65pt;height:1.65pt;mso-position-horizontal-relative:page;mso-position-vertical-relative:paragraph;z-index:15729152" id="docshape7" coordorigin="1670,386" coordsize="33,33" path="m1691,419l1682,419,1678,417,1671,411,1670,407,1670,398,1671,394,1678,388,1682,386,1691,386,1694,388,1701,394,1702,398,1702,403,1702,407,1701,411,1694,417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</w:rPr>
        <w:t>Corporate Structuring &amp; Business Planning: </w:t>
      </w:r>
      <w:r>
        <w:rPr>
          <w:color w:val="6E6158"/>
        </w:rPr>
        <w:t>entity formation and structure, </w:t>
      </w:r>
      <w:r>
        <w:rPr>
          <w:color w:val="6E6158"/>
        </w:rPr>
        <w:t>governance,</w:t>
      </w:r>
      <w:r>
        <w:rPr>
          <w:color w:val="6E6158"/>
          <w:spacing w:val="40"/>
        </w:rPr>
        <w:t> </w:t>
      </w:r>
      <w:r>
        <w:rPr>
          <w:color w:val="6E6158"/>
        </w:rPr>
        <w:t>acquisitions and sales of businesses, shareholder agreements, redemptions, divisive reorganizations, dissolutions, and succession planning.</w:t>
      </w:r>
    </w:p>
    <w:p>
      <w:pPr>
        <w:pStyle w:val="BodyText"/>
        <w:spacing w:line="292" w:lineRule="auto" w:before="132"/>
        <w:ind w:right="7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417062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39596pt;width:1.65pt;height:1.65pt;mso-position-horizontal-relative:page;mso-position-vertical-relative:paragraph;z-index:15729664" id="docshape8" coordorigin="1670,657" coordsize="33,33" path="m1691,689l1682,689,1678,688,1671,681,1670,678,1670,669,1671,665,1678,658,1682,657,1691,657,1694,658,1701,665,1702,669,1702,673,1702,678,1701,681,1694,688,1691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</w:rPr>
        <w:t>Tax &amp; Estate Planning: </w:t>
      </w:r>
      <w:r>
        <w:rPr>
          <w:color w:val="6E6158"/>
        </w:rPr>
        <w:t>income, estate, and gift tax planning, including 1031 exchanges,</w:t>
      </w:r>
      <w:r>
        <w:rPr>
          <w:color w:val="6E6158"/>
          <w:spacing w:val="40"/>
        </w:rPr>
        <w:t> </w:t>
      </w:r>
      <w:r>
        <w:rPr>
          <w:color w:val="6E6158"/>
        </w:rPr>
        <w:t>choice</w:t>
      </w:r>
      <w:r>
        <w:rPr>
          <w:color w:val="6E6158"/>
          <w:spacing w:val="21"/>
        </w:rPr>
        <w:t> </w:t>
      </w:r>
      <w:r>
        <w:rPr>
          <w:color w:val="6E6158"/>
        </w:rPr>
        <w:t>of</w:t>
      </w:r>
      <w:r>
        <w:rPr>
          <w:color w:val="6E6158"/>
          <w:spacing w:val="21"/>
        </w:rPr>
        <w:t> </w:t>
      </w:r>
      <w:r>
        <w:rPr>
          <w:color w:val="6E6158"/>
        </w:rPr>
        <w:t>entity,</w:t>
      </w:r>
      <w:r>
        <w:rPr>
          <w:color w:val="6E6158"/>
          <w:spacing w:val="21"/>
        </w:rPr>
        <w:t> </w:t>
      </w:r>
      <w:r>
        <w:rPr>
          <w:color w:val="6E6158"/>
        </w:rPr>
        <w:t>related</w:t>
      </w:r>
      <w:r>
        <w:rPr>
          <w:color w:val="6E6158"/>
          <w:spacing w:val="21"/>
        </w:rPr>
        <w:t> </w:t>
      </w:r>
      <w:r>
        <w:rPr>
          <w:color w:val="6E6158"/>
        </w:rPr>
        <w:t>party</w:t>
      </w:r>
      <w:r>
        <w:rPr>
          <w:color w:val="6E6158"/>
          <w:spacing w:val="21"/>
        </w:rPr>
        <w:t> </w:t>
      </w:r>
      <w:r>
        <w:rPr>
          <w:color w:val="6E6158"/>
        </w:rPr>
        <w:t>transactions,</w:t>
      </w:r>
      <w:r>
        <w:rPr>
          <w:color w:val="6E6158"/>
          <w:spacing w:val="21"/>
        </w:rPr>
        <w:t> </w:t>
      </w:r>
      <w:r>
        <w:rPr>
          <w:color w:val="6E6158"/>
        </w:rPr>
        <w:t>tax-efficient</w:t>
      </w:r>
      <w:r>
        <w:rPr>
          <w:color w:val="6E6158"/>
          <w:spacing w:val="21"/>
        </w:rPr>
        <w:t> </w:t>
      </w:r>
      <w:r>
        <w:rPr>
          <w:color w:val="6E6158"/>
        </w:rPr>
        <w:t>charitable</w:t>
      </w:r>
      <w:r>
        <w:rPr>
          <w:color w:val="6E6158"/>
          <w:spacing w:val="21"/>
        </w:rPr>
        <w:t> </w:t>
      </w:r>
      <w:r>
        <w:rPr>
          <w:color w:val="6E6158"/>
        </w:rPr>
        <w:t>donations,</w:t>
      </w:r>
      <w:r>
        <w:rPr>
          <w:color w:val="6E6158"/>
          <w:spacing w:val="21"/>
        </w:rPr>
        <w:t> </w:t>
      </w:r>
      <w:r>
        <w:rPr>
          <w:color w:val="6E6158"/>
        </w:rPr>
        <w:t>installment</w:t>
      </w:r>
    </w:p>
    <w:p>
      <w:pPr>
        <w:pStyle w:val="BodyText"/>
        <w:spacing w:line="292" w:lineRule="auto" w:before="1"/>
        <w:ind w:right="737"/>
      </w:pPr>
      <w:r>
        <w:rPr>
          <w:color w:val="6E6158"/>
        </w:rPr>
        <w:t>sales, family loans, irrevocable trusts, planning for disposition of the estate, and post-</w:t>
      </w:r>
      <w:r>
        <w:rPr>
          <w:color w:val="6E6158"/>
        </w:rPr>
        <w:t>mortem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planning.</w:t>
      </w:r>
    </w:p>
    <w:p>
      <w:pPr>
        <w:spacing w:line="292" w:lineRule="auto" w:before="131"/>
        <w:ind w:left="351" w:right="737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235974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0666pt;width:1.65pt;height:1.65pt;mso-position-horizontal-relative:page;mso-position-vertical-relative:paragraph;z-index:15730176" id="docshape9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  <w:sz w:val="19"/>
        </w:rPr>
        <w:t>Wills, Trusts &amp; Wealth Transfer: </w:t>
      </w:r>
      <w:r>
        <w:rPr>
          <w:color w:val="6E6158"/>
          <w:sz w:val="19"/>
        </w:rPr>
        <w:t>drafting tailored estate-planning instruments, and </w:t>
      </w:r>
      <w:r>
        <w:rPr>
          <w:color w:val="6E6158"/>
          <w:sz w:val="19"/>
        </w:rPr>
        <w:t>advising families on long-term legacy, transition, and governance strategies.</w:t>
      </w:r>
    </w:p>
    <w:p>
      <w:pPr>
        <w:pStyle w:val="BodyText"/>
        <w:spacing w:line="295" w:lineRule="auto" w:before="124"/>
        <w:ind w:right="5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504939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9.759007pt;width:1.65pt;height:1.65pt;mso-position-horizontal-relative:page;mso-position-vertical-relative:paragraph;z-index:15730688" id="docshape10" coordorigin="1670,795" coordsize="33,33" path="m1691,828l1682,828,1678,826,1671,820,1670,816,1670,807,1671,803,1678,797,1682,795,1691,795,1694,797,1701,803,1702,807,1702,811,1702,816,1701,820,1694,826,1691,8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</w:rPr>
        <w:t>Real Estate Development &amp; Tax Planning: </w:t>
      </w:r>
      <w:r>
        <w:rPr>
          <w:color w:val="6E6158"/>
        </w:rPr>
        <w:t>structuring land acquisitions and options, </w:t>
      </w:r>
      <w:r>
        <w:rPr>
          <w:color w:val="6E6158"/>
        </w:rPr>
        <w:t>negotiating</w:t>
      </w:r>
      <w:r>
        <w:rPr>
          <w:color w:val="6E6158"/>
          <w:spacing w:val="40"/>
        </w:rPr>
        <w:t> </w:t>
      </w:r>
      <w:r>
        <w:rPr>
          <w:color w:val="6E6158"/>
        </w:rPr>
        <w:t>and drafting easements and covenants, well and road agreements, coordinating with</w:t>
      </w:r>
      <w:r>
        <w:rPr>
          <w:color w:val="6E6158"/>
          <w:spacing w:val="80"/>
        </w:rPr>
        <w:t> </w:t>
      </w:r>
      <w:r>
        <w:rPr>
          <w:color w:val="6E6158"/>
        </w:rPr>
        <w:t>engineers on plats and dedications, construction contracts, sales agreements, assisting with</w:t>
      </w:r>
      <w:r>
        <w:rPr>
          <w:color w:val="6E6158"/>
          <w:spacing w:val="40"/>
        </w:rPr>
        <w:t> </w:t>
      </w:r>
      <w:r>
        <w:rPr>
          <w:color w:val="6E6158"/>
        </w:rPr>
        <w:t>subdivision</w:t>
      </w:r>
      <w:r>
        <w:rPr>
          <w:color w:val="6E6158"/>
          <w:spacing w:val="40"/>
        </w:rPr>
        <w:t> </w:t>
      </w:r>
      <w:r>
        <w:rPr>
          <w:color w:val="6E6158"/>
        </w:rPr>
        <w:t>reports,</w:t>
      </w:r>
      <w:r>
        <w:rPr>
          <w:color w:val="6E6158"/>
          <w:spacing w:val="40"/>
        </w:rPr>
        <w:t> </w:t>
      </w:r>
      <w:r>
        <w:rPr>
          <w:color w:val="6E6158"/>
        </w:rPr>
        <w:t>navigating</w:t>
      </w:r>
      <w:r>
        <w:rPr>
          <w:color w:val="6E6158"/>
          <w:spacing w:val="40"/>
        </w:rPr>
        <w:t> </w:t>
      </w:r>
      <w:r>
        <w:rPr>
          <w:color w:val="6E6158"/>
        </w:rPr>
        <w:t>federal</w:t>
      </w:r>
      <w:r>
        <w:rPr>
          <w:color w:val="6E6158"/>
          <w:spacing w:val="40"/>
        </w:rPr>
        <w:t> </w:t>
      </w:r>
      <w:r>
        <w:rPr>
          <w:color w:val="6E6158"/>
        </w:rPr>
        <w:t>land-sales</w:t>
      </w:r>
      <w:r>
        <w:rPr>
          <w:color w:val="6E6158"/>
          <w:spacing w:val="40"/>
        </w:rPr>
        <w:t> </w:t>
      </w:r>
      <w:r>
        <w:rPr>
          <w:color w:val="6E6158"/>
        </w:rPr>
        <w:t>exemptions,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negotiating</w:t>
      </w:r>
      <w:r>
        <w:rPr>
          <w:color w:val="6E6158"/>
          <w:spacing w:val="40"/>
        </w:rPr>
        <w:t> </w:t>
      </w:r>
      <w:r>
        <w:rPr>
          <w:color w:val="6E6158"/>
        </w:rPr>
        <w:t>construction</w:t>
      </w:r>
    </w:p>
    <w:p>
      <w:pPr>
        <w:pStyle w:val="BodyText"/>
        <w:spacing w:before="1"/>
      </w:pPr>
      <w:r>
        <w:rPr>
          <w:color w:val="6E6158"/>
          <w:spacing w:val="-2"/>
        </w:rPr>
        <w:t>financing.</w:t>
      </w:r>
    </w:p>
    <w:p>
      <w:pPr>
        <w:spacing w:before="17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175088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651pt;width:1.65pt;height:1.65pt;mso-position-horizontal-relative:page;mso-position-vertical-relative:paragraph;z-index:15731200" id="docshape11" coordorigin="1670,276" coordsize="33,33" path="m1691,308l1682,308,1678,307,1671,300,1670,296,1670,288,1671,284,1678,277,1682,276,1691,276,1694,277,1701,284,1702,288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  <w:sz w:val="19"/>
        </w:rPr>
        <w:t>Contract</w:t>
      </w:r>
      <w:r>
        <w:rPr>
          <w:b/>
          <w:color w:val="6E6158"/>
          <w:spacing w:val="13"/>
          <w:sz w:val="19"/>
        </w:rPr>
        <w:t> </w:t>
      </w:r>
      <w:r>
        <w:rPr>
          <w:b/>
          <w:color w:val="6E6158"/>
          <w:sz w:val="19"/>
        </w:rPr>
        <w:t>Drafting</w:t>
      </w:r>
      <w:r>
        <w:rPr>
          <w:b/>
          <w:color w:val="6E6158"/>
          <w:spacing w:val="13"/>
          <w:sz w:val="19"/>
        </w:rPr>
        <w:t> </w:t>
      </w:r>
      <w:r>
        <w:rPr>
          <w:b/>
          <w:color w:val="6E6158"/>
          <w:sz w:val="19"/>
        </w:rPr>
        <w:t>&amp;</w:t>
      </w:r>
      <w:r>
        <w:rPr>
          <w:b/>
          <w:color w:val="6E6158"/>
          <w:spacing w:val="14"/>
          <w:sz w:val="19"/>
        </w:rPr>
        <w:t> </w:t>
      </w:r>
      <w:r>
        <w:rPr>
          <w:b/>
          <w:color w:val="6E6158"/>
          <w:sz w:val="19"/>
        </w:rPr>
        <w:t>Negotiation:</w:t>
      </w:r>
      <w:r>
        <w:rPr>
          <w:b/>
          <w:color w:val="6E6158"/>
          <w:spacing w:val="13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broad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range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commercial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agreements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across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industries.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  <w:ind w:left="99" w:right="459"/>
      </w:pPr>
      <w:r>
        <w:rPr>
          <w:color w:val="6E6158"/>
        </w:rPr>
        <w:t>Outside the office, Roger enjoys spending time outdoors — gardening, fishing, and hunting — as</w:t>
      </w:r>
      <w:r>
        <w:rPr>
          <w:color w:val="6E6158"/>
          <w:spacing w:val="40"/>
        </w:rPr>
        <w:t> </w:t>
      </w:r>
      <w:r>
        <w:rPr>
          <w:color w:val="6E6158"/>
        </w:rPr>
        <w:t>well as reading and sharing time with his grandchildren.</w:t>
      </w:r>
    </w:p>
    <w:p>
      <w:pPr>
        <w:pStyle w:val="BodyText"/>
        <w:ind w:left="0"/>
      </w:pPr>
    </w:p>
    <w:p>
      <w:pPr>
        <w:pStyle w:val="BodyText"/>
        <w:spacing w:before="185"/>
        <w:ind w:left="0"/>
      </w:pP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BodyText"/>
        <w:spacing w:before="137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157909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3786pt;width:1.65pt;height:1.65pt;mso-position-horizontal-relative:page;mso-position-vertical-relative:paragraph;z-index:15731712" id="docshape12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7"/>
        </w:rPr>
        <w:t> </w:t>
      </w:r>
      <w:r>
        <w:rPr>
          <w:color w:val="6E6158"/>
        </w:rPr>
        <w:t>Brigham</w:t>
      </w:r>
      <w:r>
        <w:rPr>
          <w:color w:val="6E6158"/>
          <w:spacing w:val="8"/>
        </w:rPr>
        <w:t> </w:t>
      </w:r>
      <w:r>
        <w:rPr>
          <w:color w:val="6E6158"/>
        </w:rPr>
        <w:t>Young</w:t>
      </w:r>
      <w:r>
        <w:rPr>
          <w:color w:val="6E6158"/>
          <w:spacing w:val="8"/>
        </w:rPr>
        <w:t> </w:t>
      </w:r>
      <w:r>
        <w:rPr>
          <w:color w:val="6E6158"/>
        </w:rPr>
        <w:t>University,</w:t>
      </w:r>
      <w:r>
        <w:rPr>
          <w:color w:val="6E6158"/>
          <w:spacing w:val="8"/>
        </w:rPr>
        <w:t> </w:t>
      </w:r>
      <w:r>
        <w:rPr>
          <w:color w:val="6E6158"/>
        </w:rPr>
        <w:t>J.</w:t>
      </w:r>
      <w:r>
        <w:rPr>
          <w:color w:val="6E6158"/>
          <w:spacing w:val="8"/>
        </w:rPr>
        <w:t> </w:t>
      </w:r>
      <w:r>
        <w:rPr>
          <w:color w:val="6E6158"/>
        </w:rPr>
        <w:t>Reuben</w:t>
      </w:r>
      <w:r>
        <w:rPr>
          <w:color w:val="6E6158"/>
          <w:spacing w:val="8"/>
        </w:rPr>
        <w:t> </w:t>
      </w:r>
      <w:r>
        <w:rPr>
          <w:color w:val="6E6158"/>
        </w:rPr>
        <w:t>Clark</w:t>
      </w:r>
      <w:r>
        <w:rPr>
          <w:color w:val="6E6158"/>
          <w:spacing w:val="8"/>
        </w:rPr>
        <w:t> </w:t>
      </w:r>
      <w:r>
        <w:rPr>
          <w:color w:val="6E6158"/>
        </w:rPr>
        <w:t>Law</w:t>
      </w:r>
      <w:r>
        <w:rPr>
          <w:color w:val="6E6158"/>
          <w:spacing w:val="8"/>
        </w:rPr>
        <w:t> </w:t>
      </w:r>
      <w:r>
        <w:rPr>
          <w:color w:val="6E6158"/>
        </w:rPr>
        <w:t>School,</w:t>
      </w:r>
      <w:r>
        <w:rPr>
          <w:color w:val="6E6158"/>
          <w:spacing w:val="8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line="420" w:lineRule="auto" w:before="171"/>
        <w:ind w:right="37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173568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66802pt;width:1.65pt;height:1.65pt;mso-position-horizontal-relative:page;mso-position-vertical-relative:paragraph;z-index:15732224" id="docshape13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431934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10551pt;width:1.65pt;height:1.65pt;mso-position-horizontal-relative:page;mso-position-vertical-relative:paragraph;z-index:15732736" id="docshape14" coordorigin="1670,680" coordsize="33,33" path="m1691,713l1682,713,1678,711,1671,705,1670,701,1670,692,1671,688,1678,682,1682,680,1691,680,1694,682,1701,688,1702,692,1702,696,1702,701,1701,705,1694,711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M.A., Brigham Young University, Marriott School of </w:t>
      </w:r>
      <w:r>
        <w:rPr>
          <w:color w:val="6E6158"/>
        </w:rPr>
        <w:t>Business</w:t>
      </w:r>
      <w:r>
        <w:rPr>
          <w:color w:val="6E6158"/>
        </w:rPr>
        <w:t> B.S., Arizona State University</w:t>
      </w:r>
    </w:p>
    <w:p>
      <w:pPr>
        <w:pStyle w:val="Heading1"/>
        <w:spacing w:before="168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right="77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152821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3204pt;width:1.65pt;height:1.65pt;mso-position-horizontal-relative:page;mso-position-vertical-relative:paragraph;z-index:15733248" id="docshape15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416354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3813pt;width:1.65pt;height:1.65pt;mso-position-horizontal-relative:page;mso-position-vertical-relative:paragraph;z-index:15733760" id="docshape16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Trusts</w:t>
      </w:r>
      <w:r>
        <w:rPr>
          <w:color w:val="6E6158"/>
          <w:spacing w:val="-3"/>
        </w:rPr>
        <w:t> </w:t>
      </w:r>
      <w:r>
        <w:rPr>
          <w:color w:val="6E6158"/>
        </w:rPr>
        <w:t>&amp;</w:t>
      </w:r>
      <w:r>
        <w:rPr>
          <w:color w:val="6E6158"/>
          <w:spacing w:val="-3"/>
        </w:rPr>
        <w:t> </w:t>
      </w:r>
      <w:r>
        <w:rPr>
          <w:color w:val="6E6158"/>
        </w:rPr>
        <w:t>Estates Tax Law</w:t>
      </w:r>
    </w:p>
    <w:p>
      <w:pPr>
        <w:pStyle w:val="BodyText"/>
        <w:spacing w:line="422" w:lineRule="auto"/>
        <w:ind w:right="75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63634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0594pt;width:1.65pt;height:1.65pt;mso-position-horizontal-relative:page;mso-position-vertical-relative:paragraph;z-index:15734272" id="docshape17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322000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54345pt;width:1.65pt;height:1.65pt;mso-position-horizontal-relative:page;mso-position-vertical-relative:paragraph;z-index:15734784" id="docshape18" coordorigin="1670,507" coordsize="33,33" path="m1691,540l1682,540,1678,538,1671,532,1670,528,1670,519,1671,515,1678,509,1682,507,1691,507,1694,509,1701,515,1702,519,1702,523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580365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698093pt;width:1.65pt;height:1.65pt;mso-position-horizontal-relative:page;mso-position-vertical-relative:paragraph;z-index:15735296" id="docshape19" coordorigin="1670,914" coordsize="33,33" path="m1691,947l1682,947,1678,945,1671,939,1670,935,1670,926,1671,922,1678,916,1682,914,1691,914,1694,916,1701,922,1702,926,1702,930,1702,935,1701,939,1694,945,1691,9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</w:t>
      </w:r>
      <w:r>
        <w:rPr>
          <w:color w:val="6E6158"/>
        </w:rPr>
        <w:t>Finance Estate Planning Real Estate</w:t>
      </w:r>
    </w:p>
    <w:p>
      <w:pPr>
        <w:pStyle w:val="BodyText"/>
        <w:spacing w:line="420" w:lineRule="auto"/>
        <w:ind w:right="50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62851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48924pt;width:1.65pt;height:1.65pt;mso-position-horizontal-relative:page;mso-position-vertical-relative:paragraph;z-index:15735808" id="docshape20" coordorigin="1670,99" coordsize="33,33" path="m1691,132l1682,132,1678,130,1671,124,1670,120,1670,111,1671,107,1678,101,1682,99,1691,99,1694,101,1701,107,1702,111,1702,115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321216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92671pt;width:1.65pt;height:1.65pt;mso-position-horizontal-relative:page;mso-position-vertical-relative:paragraph;z-index:15736320" id="docshape21" coordorigin="1670,506" coordsize="33,33" path="m1691,538l1682,538,1678,537,1671,530,1670,527,1670,518,1671,514,1678,507,1682,506,1691,506,1694,507,1701,514,1702,518,1702,522,1702,527,1701,530,1694,537,1691,5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Family Office &amp; Private Client </w:t>
      </w:r>
      <w:r>
        <w:rPr>
          <w:color w:val="6E6158"/>
        </w:rPr>
        <w:t>Attorneys General Counsel Services</w:t>
      </w:r>
    </w:p>
    <w:p>
      <w:pPr>
        <w:pStyle w:val="Heading1"/>
        <w:spacing w:before="165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06" w:lineRule="exact" w:before="13"/>
        <w:ind w:right="7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152593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5224pt;width:1.65pt;height:1.65pt;mso-position-horizontal-relative:page;mso-position-vertical-relative:paragraph;z-index:15736832" id="docshape22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Maricopa County Extension Master Gardener, Budget/Finance Committee, 2015-</w:t>
      </w:r>
      <w:r>
        <w:rPr>
          <w:color w:val="6E6158"/>
        </w:rPr>
        <w:t>Present Precinct Committeeman, Maricopa County, 2012-2018</w:t>
      </w:r>
    </w:p>
    <w:p>
      <w:pPr>
        <w:pStyle w:val="BodyText"/>
        <w:spacing w:before="13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109278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8.604588pt;width:1.65pt;height:1.65pt;mso-position-horizontal-relative:page;mso-position-vertical-relative:paragraph;z-index:15737344" id="docshape23" coordorigin="1670,172" coordsize="33,33" path="m1691,205l1682,205,1678,203,1671,197,1670,193,1670,184,1671,180,1678,174,1682,172,1691,172,1694,174,1701,180,1702,184,1702,188,1702,193,1701,197,1694,203,1691,2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1375552</wp:posOffset>
                </wp:positionH>
                <wp:positionV relativeFrom="paragraph">
                  <wp:posOffset>73107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756484pt;width:1.65pt;height:1.65pt;mso-position-horizontal-relative:page;mso-position-vertical-relative:paragraph;z-index:15737856" id="docshape24" coordorigin="2166,115" coordsize="33,33" path="m2187,148l2178,148,2174,146,2168,140,2166,136,2166,127,2168,123,2174,117,2178,115,2187,115,2191,117,2197,123,2199,127,2199,131,2199,136,2197,140,2191,146,2187,1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District</w:t>
      </w:r>
      <w:r>
        <w:rPr>
          <w:color w:val="6E6158"/>
          <w:spacing w:val="20"/>
        </w:rPr>
        <w:t> </w:t>
      </w:r>
      <w:r>
        <w:rPr>
          <w:color w:val="6E6158"/>
        </w:rPr>
        <w:t>Secretary,</w:t>
      </w:r>
      <w:r>
        <w:rPr>
          <w:color w:val="6E6158"/>
          <w:spacing w:val="21"/>
        </w:rPr>
        <w:t> </w:t>
      </w:r>
      <w:r>
        <w:rPr>
          <w:color w:val="6E6158"/>
        </w:rPr>
        <w:t>2012-</w:t>
      </w:r>
      <w:r>
        <w:rPr>
          <w:color w:val="6E6158"/>
          <w:spacing w:val="-4"/>
        </w:rPr>
        <w:t>2014</w:t>
      </w:r>
    </w:p>
    <w:p>
      <w:pPr>
        <w:pStyle w:val="BodyText"/>
        <w:spacing w:before="182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1375552</wp:posOffset>
                </wp:positionH>
                <wp:positionV relativeFrom="paragraph">
                  <wp:posOffset>175292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13.802522pt;width:1.65pt;height:1.65pt;mso-position-horizontal-relative:page;mso-position-vertical-relative:paragraph;z-index:15738368" id="docshape25" coordorigin="2166,276" coordsize="33,33" path="m2187,309l2178,309,2174,307,2168,301,2166,297,2166,288,2168,284,2174,278,2178,276,2187,276,2191,278,2197,284,2199,288,2199,292,2199,297,2197,301,2191,307,2187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County</w:t>
      </w:r>
      <w:r>
        <w:rPr>
          <w:color w:val="6E6158"/>
          <w:spacing w:val="15"/>
        </w:rPr>
        <w:t> </w:t>
      </w:r>
      <w:r>
        <w:rPr>
          <w:color w:val="6E6158"/>
        </w:rPr>
        <w:t>&amp;</w:t>
      </w:r>
      <w:r>
        <w:rPr>
          <w:color w:val="6E6158"/>
          <w:spacing w:val="15"/>
        </w:rPr>
        <w:t> </w:t>
      </w:r>
      <w:r>
        <w:rPr>
          <w:color w:val="6E6158"/>
        </w:rPr>
        <w:t>State</w:t>
      </w:r>
      <w:r>
        <w:rPr>
          <w:color w:val="6E6158"/>
          <w:spacing w:val="15"/>
        </w:rPr>
        <w:t> </w:t>
      </w:r>
      <w:r>
        <w:rPr>
          <w:color w:val="6E6158"/>
        </w:rPr>
        <w:t>Bylaws</w:t>
      </w:r>
      <w:r>
        <w:rPr>
          <w:color w:val="6E6158"/>
          <w:spacing w:val="16"/>
        </w:rPr>
        <w:t> </w:t>
      </w:r>
      <w:r>
        <w:rPr>
          <w:color w:val="6E6158"/>
        </w:rPr>
        <w:t>Committees,</w:t>
      </w:r>
      <w:r>
        <w:rPr>
          <w:color w:val="6E6158"/>
          <w:spacing w:val="15"/>
        </w:rPr>
        <w:t> </w:t>
      </w:r>
      <w:r>
        <w:rPr>
          <w:color w:val="6E6158"/>
        </w:rPr>
        <w:t>2015-</w:t>
      </w:r>
      <w:r>
        <w:rPr>
          <w:color w:val="6E6158"/>
          <w:spacing w:val="-4"/>
        </w:rPr>
        <w:t>2017</w:t>
      </w:r>
    </w:p>
    <w:p>
      <w:pPr>
        <w:pStyle w:val="BodyText"/>
        <w:spacing w:line="292" w:lineRule="auto" w:before="174"/>
        <w:ind w:right="10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263173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2303pt;width:1.65pt;height:1.65pt;mso-position-horizontal-relative:page;mso-position-vertical-relative:paragraph;z-index:15738880" id="docshape26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Assistant Scoutmaster, Committee Chair, Mentor, Boy Scouts of America &amp; Youth Groups, </w:t>
      </w:r>
      <w:r>
        <w:rPr>
          <w:color w:val="6E6158"/>
          <w:spacing w:val="-2"/>
        </w:rPr>
        <w:t>1990s-2014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143121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9414pt;width:1.65pt;height:1.65pt;mso-position-horizontal-relative:page;mso-position-vertical-relative:paragraph;z-index:15739392" id="docshape27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President,</w:t>
      </w:r>
      <w:r>
        <w:rPr>
          <w:color w:val="6E6158"/>
          <w:spacing w:val="14"/>
        </w:rPr>
        <w:t> </w:t>
      </w:r>
      <w:r>
        <w:rPr>
          <w:color w:val="6E6158"/>
        </w:rPr>
        <w:t>East</w:t>
      </w:r>
      <w:r>
        <w:rPr>
          <w:color w:val="6E6158"/>
          <w:spacing w:val="14"/>
        </w:rPr>
        <w:t> </w:t>
      </w:r>
      <w:r>
        <w:rPr>
          <w:color w:val="6E6158"/>
        </w:rPr>
        <w:t>Mesa</w:t>
      </w:r>
      <w:r>
        <w:rPr>
          <w:color w:val="6E6158"/>
          <w:spacing w:val="14"/>
        </w:rPr>
        <w:t> </w:t>
      </w:r>
      <w:r>
        <w:rPr>
          <w:color w:val="6E6158"/>
        </w:rPr>
        <w:t>Rotary</w:t>
      </w:r>
      <w:r>
        <w:rPr>
          <w:color w:val="6E6158"/>
          <w:spacing w:val="14"/>
        </w:rPr>
        <w:t> </w:t>
      </w:r>
      <w:r>
        <w:rPr>
          <w:color w:val="6E6158"/>
        </w:rPr>
        <w:t>Club,</w:t>
      </w:r>
      <w:r>
        <w:rPr>
          <w:color w:val="6E6158"/>
          <w:spacing w:val="14"/>
        </w:rPr>
        <w:t> </w:t>
      </w:r>
      <w:r>
        <w:rPr>
          <w:color w:val="6E6158"/>
        </w:rPr>
        <w:t>2005-</w:t>
      </w:r>
      <w:r>
        <w:rPr>
          <w:color w:val="6E6158"/>
          <w:spacing w:val="-4"/>
        </w:rPr>
        <w:t>2006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6"/>
        <w:ind w:right="81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152380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98486pt;width:1.65pt;height:1.65pt;mso-position-horizontal-relative:page;mso-position-vertical-relative:paragraph;z-index:15739904" id="docshape28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415912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9054pt;width:1.65pt;height:1.65pt;mso-position-horizontal-relative:page;mso-position-vertical-relative:paragraph;z-index:15740416" id="docshape29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Idaho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rheywood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Roger Heywood - Fennemore</dc:title>
  <dcterms:created xsi:type="dcterms:W3CDTF">2025-11-26T23:34:08Z</dcterms:created>
  <dcterms:modified xsi:type="dcterms:W3CDTF">2025-11-26T23:34:08Z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2025-11-26T00:00:00Z</vt:filetime>
  </property>
  <property fmtid="{D5CDD505-2E9C-101B-9397-08002B2CF9AE}" pid="5" name="Producer">
    <vt:lpwstr>Skia/PDF m142</vt:lpwstr>
  </property>
</Properties>
</file>