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0122" y="1585517"/>
                            <a:ext cx="50444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Thoughtful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careful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preparation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documents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key to wealth preservation and transition. Proper implementation and</w:t>
                              </w:r>
                            </w:p>
                            <w:p>
                              <w:pPr>
                                <w:spacing w:line="259" w:lineRule="exact" w:before="0"/>
                                <w:ind w:left="0" w:right="1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diligent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administration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equally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critical.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87352" y="880542"/>
                            <a:ext cx="19100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Trusts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Estates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19;top:2496;width:7944;height:825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Thoughtful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careful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preparation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documents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key to wealth preservation and transition. Proper implementation and</w:t>
                        </w:r>
                      </w:p>
                      <w:p>
                        <w:pPr>
                          <w:spacing w:line="259" w:lineRule="exact" w:before="0"/>
                          <w:ind w:left="0" w:right="1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diligent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administration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equally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critical.</w:t>
                        </w:r>
                      </w:p>
                    </w:txbxContent>
                  </v:textbox>
                  <w10:wrap type="none"/>
                </v:shape>
                <v:shape style="position:absolute;left:3287;top:1386;width:300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Trusts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Estates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72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527" w:right="72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5"/>
        <w:ind w:left="3527" w:right="494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9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2791396</wp:posOffset>
            </wp:positionH>
            <wp:positionV relativeFrom="paragraph">
              <wp:posOffset>231247</wp:posOffset>
            </wp:positionV>
            <wp:extent cx="1390649" cy="13906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39"/>
        <w:ind w:left="0"/>
        <w:rPr>
          <w:sz w:val="16"/>
        </w:rPr>
      </w:pPr>
    </w:p>
    <w:p>
      <w:pPr>
        <w:spacing w:before="0"/>
        <w:ind w:left="303" w:right="0" w:firstLine="0"/>
        <w:jc w:val="left"/>
        <w:rPr>
          <w:sz w:val="16"/>
        </w:rPr>
      </w:pP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03" w:right="717" w:firstLine="0"/>
        <w:jc w:val="left"/>
        <w:rPr>
          <w:sz w:val="16"/>
        </w:rPr>
      </w:pPr>
      <w:hyperlink r:id="rId16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16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03" w:right="0" w:firstLine="0"/>
        <w:jc w:val="left"/>
        <w:rPr>
          <w:b/>
          <w:sz w:val="16"/>
        </w:rPr>
      </w:pPr>
      <w:hyperlink r:id="rId17">
        <w:r>
          <w:rPr>
            <w:b/>
            <w:sz w:val="16"/>
          </w:rPr>
          <w:t>Judith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Y.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Tang</w:t>
        </w:r>
      </w:hyperlink>
    </w:p>
    <w:p>
      <w:pPr>
        <w:spacing w:line="142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03" w:right="0" w:firstLine="0"/>
        <w:jc w:val="left"/>
        <w:rPr>
          <w:b/>
          <w:sz w:val="12"/>
        </w:rPr>
      </w:pPr>
      <w:hyperlink r:id="rId18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303" w:right="505" w:firstLine="0"/>
        <w:jc w:val="left"/>
        <w:rPr>
          <w:sz w:val="12"/>
        </w:rPr>
      </w:pPr>
      <w:hyperlink r:id="rId19">
        <w:r>
          <w:rPr>
            <w:color w:val="002E6B"/>
            <w:spacing w:val="-2"/>
            <w:sz w:val="12"/>
          </w:rPr>
          <w:t>j</w:t>
        </w:r>
        <w:r>
          <w:rPr>
            <w:color w:val="002E6B"/>
            <w:spacing w:val="-2"/>
            <w:sz w:val="12"/>
            <w:u w:val="single" w:color="002E6B"/>
          </w:rPr>
          <w:t>tang@fennemorelaw.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9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before="103"/>
        <w:ind w:left="297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297" w:right="606" w:firstLine="0"/>
        <w:jc w:val="left"/>
        <w:rPr>
          <w:sz w:val="16"/>
        </w:rPr>
      </w:pPr>
      <w:hyperlink r:id="rId20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2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297" w:right="606" w:firstLine="0"/>
        <w:jc w:val="left"/>
        <w:rPr>
          <w:b/>
          <w:sz w:val="16"/>
        </w:rPr>
      </w:pPr>
      <w:hyperlink r:id="rId21">
        <w:r>
          <w:rPr>
            <w:b/>
            <w:sz w:val="16"/>
          </w:rPr>
          <w:t>Kathleen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E.</w:t>
        </w:r>
      </w:hyperlink>
      <w:r>
        <w:rPr>
          <w:b/>
          <w:sz w:val="16"/>
        </w:rPr>
        <w:t> </w:t>
      </w:r>
      <w:hyperlink r:id="rId21">
        <w:r>
          <w:rPr>
            <w:b/>
            <w:spacing w:val="-2"/>
            <w:sz w:val="16"/>
          </w:rPr>
          <w:t>Callaway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602.916.5432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602.916.5632</w:t>
      </w:r>
    </w:p>
    <w:p>
      <w:pPr>
        <w:spacing w:line="266" w:lineRule="auto" w:before="15"/>
        <w:ind w:left="297" w:right="606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  <w:u w:val="single" w:color="002E6B"/>
          </w:rPr>
          <w:t>kcallaway@fennemor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3" w:equalWidth="0">
            <w:col w:w="5514" w:space="40"/>
            <w:col w:w="2296" w:space="39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 w:before="146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planners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expertise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gift,</w:t>
      </w:r>
      <w:r>
        <w:rPr>
          <w:color w:val="6E6158"/>
          <w:spacing w:val="35"/>
        </w:rPr>
        <w:t> </w:t>
      </w:r>
      <w:r>
        <w:rPr>
          <w:color w:val="6E6158"/>
        </w:rPr>
        <w:t>estate,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36"/>
      </w:pPr>
      <w:r>
        <w:rPr>
          <w:color w:val="6E6158"/>
        </w:rPr>
        <w:t>avoidance or minimization, including the use of dynasty trusts, family limited partnerships,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2" w:lineRule="auto" w:before="205"/>
        <w:ind w:right="65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planning documents.</w:t>
      </w:r>
    </w:p>
    <w:p>
      <w:pPr>
        <w:pStyle w:val="BodyText"/>
        <w:spacing w:line="295" w:lineRule="auto" w:before="197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 with respect to beneficiary communications and appropriate courses of conduct and action 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69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35"/>
      </w:pPr>
      <w:r>
        <w:rPr>
          <w:color w:val="6E6158"/>
        </w:rPr>
        <w:t>include, presently and historically, Fellows of the </w:t>
      </w:r>
      <w:hyperlink r:id="rId23">
        <w:r>
          <w:rPr>
            <w:color w:val="F5821F"/>
          </w:rPr>
          <w:t>American College of Trust and Estate Counsel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in estate and trust law and in tax law; adjunct professors; members of</w:t>
      </w:r>
      <w:r>
        <w:rPr>
          <w:color w:val="6E6158"/>
          <w:spacing w:val="40"/>
        </w:rPr>
        <w:t> </w:t>
      </w:r>
      <w:r>
        <w:rPr>
          <w:color w:val="6E6158"/>
        </w:rPr>
        <w:t>for-profit boards of directors, and of professional, community, and charitable councils and</w:t>
      </w:r>
      <w:r>
        <w:rPr>
          <w:color w:val="6E6158"/>
          <w:spacing w:val="40"/>
        </w:rPr>
        <w:t> </w:t>
      </w:r>
      <w:r>
        <w:rPr>
          <w:color w:val="6E6158"/>
        </w:rPr>
        <w:t>boards.</w:t>
      </w:r>
      <w:r>
        <w:rPr>
          <w:color w:val="6E6158"/>
          <w:spacing w:val="34"/>
        </w:rPr>
        <w:t> </w:t>
      </w: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attorneys</w:t>
      </w:r>
      <w:r>
        <w:rPr>
          <w:color w:val="6E6158"/>
          <w:spacing w:val="34"/>
        </w:rPr>
        <w:t> </w:t>
      </w:r>
      <w:r>
        <w:rPr>
          <w:color w:val="6E6158"/>
        </w:rPr>
        <w:t>have</w:t>
      </w:r>
      <w:r>
        <w:rPr>
          <w:color w:val="6E6158"/>
          <w:spacing w:val="34"/>
        </w:rPr>
        <w:t> </w:t>
      </w:r>
      <w:r>
        <w:rPr>
          <w:color w:val="6E6158"/>
        </w:rPr>
        <w:t>lectured</w:t>
      </w:r>
      <w:r>
        <w:rPr>
          <w:color w:val="6E6158"/>
          <w:spacing w:val="34"/>
        </w:rPr>
        <w:t> </w:t>
      </w:r>
      <w:r>
        <w:rPr>
          <w:color w:val="6E6158"/>
        </w:rPr>
        <w:t>extensively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planning,</w:t>
      </w:r>
      <w:r>
        <w:rPr>
          <w:color w:val="6E6158"/>
          <w:spacing w:val="34"/>
        </w:rPr>
        <w:t> </w:t>
      </w:r>
      <w:r>
        <w:rPr>
          <w:color w:val="6E6158"/>
        </w:rPr>
        <w:t>taxation,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related</w:t>
      </w:r>
    </w:p>
    <w:p>
      <w:pPr>
        <w:pStyle w:val="BodyText"/>
        <w:spacing w:line="292" w:lineRule="auto" w:before="8"/>
        <w:ind w:right="657"/>
      </w:pPr>
      <w:r>
        <w:rPr>
          <w:color w:val="6E6158"/>
        </w:rPr>
        <w:t>topics, educating other lawyers, accountants, and professionals locally and throughout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 States.</w:t>
      </w:r>
    </w:p>
    <w:p>
      <w:pPr>
        <w:pStyle w:val="BodyText"/>
        <w:spacing w:before="196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5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  <w:spacing w:before="157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57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/>
        <w:ind w:right="65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9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Heading1"/>
        <w:spacing w:before="161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/>
        <w:ind w:right="657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  <w:spacing w:before="157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7" w:lineRule="auto" w:before="146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88"/>
        <w:ind w:right="65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3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trusts-estate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services/estate-planning/" TargetMode="External"/><Relationship Id="rId17" Type="http://schemas.openxmlformats.org/officeDocument/2006/relationships/hyperlink" Target="https://www.fennemorelaw.com/people/attorneys/judith-y-tang/" TargetMode="External"/><Relationship Id="rId18" Type="http://schemas.openxmlformats.org/officeDocument/2006/relationships/hyperlink" Target="https://www.fennemorelaw.com/contact-us/#oakland" TargetMode="External"/><Relationship Id="rId19" Type="http://schemas.openxmlformats.org/officeDocument/2006/relationships/hyperlink" Target="mailto:jtang@fennemorelaw.com" TargetMode="External"/><Relationship Id="rId20" Type="http://schemas.openxmlformats.org/officeDocument/2006/relationships/hyperlink" Target="https://www.fennemorelaw.com/services/estate-litigation/" TargetMode="External"/><Relationship Id="rId21" Type="http://schemas.openxmlformats.org/officeDocument/2006/relationships/hyperlink" Target="https://www.fennemorelaw.com/people/attorneys/kathleen-e-callaway/" TargetMode="External"/><Relationship Id="rId22" Type="http://schemas.openxmlformats.org/officeDocument/2006/relationships/hyperlink" Target="mailto:kcallaway@fennemorelaw.com" TargetMode="External"/><Relationship Id="rId23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Trusts &amp; Estates - Fennemore</dc:title>
  <dcterms:created xsi:type="dcterms:W3CDTF">2025-11-26T23:46:50Z</dcterms:created>
  <dcterms:modified xsi:type="dcterms:W3CDTF">2025-11-26T23:46:50Z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2025-11-26T00:00:00Z</vt:filetime>
  </property>
  <property fmtid="{D5CDD505-2E9C-101B-9397-08002B2CF9AE}" pid="5" name="Producer">
    <vt:lpwstr>Skia/PDF m142</vt:lpwstr>
  </property>
</Properties>
</file>