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bigail Orgero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691237" y="763308"/>
                            <a:ext cx="173799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ABIGAIL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MARY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ORGERON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Employment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Labor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50033" y="2133494"/>
                            <a:ext cx="6203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Antonio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210.447.8033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210.447.8036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78839" y="2500373"/>
                            <a:ext cx="15627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aorgeron@fennemorelaw.com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Abigail Orgeron bio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149;top:-3887;width:2737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ABIGAIL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MARY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ORGERON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Employment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Labor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029;top:-1729;width:977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Antonio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210.447.8033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210.447.8036</w:t>
                        </w:r>
                      </w:p>
                    </w:txbxContent>
                  </v:textbox>
                  <w10:wrap type="none"/>
                </v:shape>
                <v:shape style="position:absolute;left:7287;top:-1151;width:2461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aorgeron@fennemorelaw.com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ABIGAIL</w:t>
      </w:r>
      <w:r>
        <w:rPr>
          <w:color w:val="FF8100"/>
          <w:spacing w:val="9"/>
        </w:rPr>
        <w:t> </w:t>
      </w:r>
      <w:r>
        <w:rPr>
          <w:color w:val="FF8100"/>
        </w:rPr>
        <w:t>MARY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ORGERON</w:t>
      </w:r>
    </w:p>
    <w:p>
      <w:pPr>
        <w:pStyle w:val="BodyText"/>
        <w:spacing w:line="295" w:lineRule="auto" w:before="146"/>
        <w:ind w:left="99" w:right="258"/>
      </w:pPr>
      <w:r>
        <w:rPr>
          <w:color w:val="6E6158"/>
        </w:rPr>
        <w:t>Abigail Mary Orgeron is an employment and labor attorney in Fennemore’s San Antonio office,</w:t>
      </w:r>
      <w:r>
        <w:rPr>
          <w:color w:val="6E6158"/>
          <w:spacing w:val="40"/>
        </w:rPr>
        <w:t> </w:t>
      </w:r>
      <w:r>
        <w:rPr>
          <w:color w:val="6E6158"/>
        </w:rPr>
        <w:t>focusing her practice on all areas of employment law in both federal and state courts, as well as</w:t>
      </w:r>
      <w:r>
        <w:rPr>
          <w:color w:val="6E6158"/>
          <w:spacing w:val="40"/>
        </w:rPr>
        <w:t> </w:t>
      </w:r>
      <w:r>
        <w:rPr>
          <w:color w:val="6E6158"/>
        </w:rPr>
        <w:t>before administrative agencies. She represents employers in workplace disputes, investigations,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compliance</w:t>
      </w:r>
      <w:r>
        <w:rPr>
          <w:color w:val="6E6158"/>
          <w:spacing w:val="29"/>
        </w:rPr>
        <w:t> </w:t>
      </w:r>
      <w:r>
        <w:rPr>
          <w:color w:val="6E6158"/>
        </w:rPr>
        <w:t>matters,</w:t>
      </w:r>
      <w:r>
        <w:rPr>
          <w:color w:val="6E6158"/>
          <w:spacing w:val="29"/>
        </w:rPr>
        <w:t> </w:t>
      </w:r>
      <w:r>
        <w:rPr>
          <w:color w:val="6E6158"/>
        </w:rPr>
        <w:t>providing</w:t>
      </w:r>
      <w:r>
        <w:rPr>
          <w:color w:val="6E6158"/>
          <w:spacing w:val="29"/>
        </w:rPr>
        <w:t> </w:t>
      </w:r>
      <w:r>
        <w:rPr>
          <w:color w:val="6E6158"/>
        </w:rPr>
        <w:t>practical</w:t>
      </w:r>
      <w:r>
        <w:rPr>
          <w:color w:val="6E6158"/>
          <w:spacing w:val="29"/>
        </w:rPr>
        <w:t> </w:t>
      </w:r>
      <w:r>
        <w:rPr>
          <w:color w:val="6E6158"/>
        </w:rPr>
        <w:t>guidance</w:t>
      </w:r>
      <w:r>
        <w:rPr>
          <w:color w:val="6E6158"/>
          <w:spacing w:val="29"/>
        </w:rPr>
        <w:t> </w:t>
      </w:r>
      <w:r>
        <w:rPr>
          <w:color w:val="6E6158"/>
        </w:rPr>
        <w:t>from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start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case</w:t>
      </w:r>
      <w:r>
        <w:rPr>
          <w:color w:val="6E6158"/>
          <w:spacing w:val="29"/>
        </w:rPr>
        <w:t> </w:t>
      </w:r>
      <w:r>
        <w:rPr>
          <w:color w:val="6E6158"/>
        </w:rPr>
        <w:t>through</w:t>
      </w:r>
      <w:r>
        <w:rPr>
          <w:color w:val="6E6158"/>
          <w:spacing w:val="29"/>
        </w:rPr>
        <w:t> </w:t>
      </w:r>
      <w:r>
        <w:rPr>
          <w:color w:val="6E6158"/>
        </w:rPr>
        <w:t>final</w:t>
      </w:r>
    </w:p>
    <w:p>
      <w:pPr>
        <w:pStyle w:val="BodyText"/>
        <w:spacing w:before="2"/>
        <w:ind w:left="99"/>
      </w:pPr>
      <w:r>
        <w:rPr>
          <w:color w:val="6E6158"/>
          <w:spacing w:val="-2"/>
        </w:rPr>
        <w:t>resolution.</w:t>
      </w:r>
    </w:p>
    <w:p>
      <w:pPr>
        <w:pStyle w:val="BodyText"/>
        <w:spacing w:before="22"/>
      </w:pPr>
    </w:p>
    <w:p>
      <w:pPr>
        <w:pStyle w:val="BodyText"/>
        <w:spacing w:line="295" w:lineRule="auto"/>
        <w:ind w:left="99" w:right="258"/>
      </w:pPr>
      <w:r>
        <w:rPr>
          <w:color w:val="6E6158"/>
        </w:rPr>
        <w:t>Abigail assists clients throughout every stage of litigation, from initial demand letters to verdicts or</w:t>
      </w:r>
      <w:r>
        <w:rPr>
          <w:color w:val="6E6158"/>
          <w:spacing w:val="40"/>
        </w:rPr>
        <w:t> </w:t>
      </w:r>
      <w:r>
        <w:rPr>
          <w:color w:val="6E6158"/>
        </w:rPr>
        <w:t>settlements, and has experience in mediations, arbitrations, and agency negotiations. She has</w:t>
      </w:r>
      <w:r>
        <w:rPr>
          <w:color w:val="6E6158"/>
          <w:spacing w:val="40"/>
        </w:rPr>
        <w:t> </w:t>
      </w:r>
      <w:r>
        <w:rPr>
          <w:color w:val="6E6158"/>
        </w:rPr>
        <w:t>handled cases involving Title VII, the Fair Labor Standards Act (FLSA), workers’ compensation,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Americans with Disabilities Act (ADA), the Age Discrimination in Employment Act (ADEA), Section</w:t>
      </w:r>
      <w:r>
        <w:rPr>
          <w:color w:val="6E6158"/>
          <w:spacing w:val="40"/>
        </w:rPr>
        <w:t> </w:t>
      </w:r>
      <w:r>
        <w:rPr>
          <w:color w:val="6E6158"/>
        </w:rPr>
        <w:t>1981 claims, and related state law claims. In addition to her litigation work, Abigail advises</w:t>
      </w:r>
      <w:r>
        <w:rPr>
          <w:color w:val="6E6158"/>
          <w:spacing w:val="40"/>
        </w:rPr>
        <w:t> </w:t>
      </w:r>
      <w:r>
        <w:rPr>
          <w:color w:val="6E6158"/>
        </w:rPr>
        <w:t>employers on policy and handbook updates, compliance with new employment laws, and</w:t>
      </w:r>
      <w:r>
        <w:rPr>
          <w:color w:val="6E6158"/>
          <w:spacing w:val="40"/>
        </w:rPr>
        <w:t> </w:t>
      </w:r>
      <w:r>
        <w:rPr>
          <w:color w:val="6E6158"/>
        </w:rPr>
        <w:t>preventative workplace training to reduce legal risk.</w:t>
      </w:r>
    </w:p>
    <w:p>
      <w:pPr>
        <w:pStyle w:val="BodyText"/>
        <w:spacing w:line="297" w:lineRule="auto" w:before="191"/>
        <w:ind w:left="99" w:right="204"/>
      </w:pPr>
      <w:r>
        <w:rPr>
          <w:color w:val="6E6158"/>
        </w:rPr>
        <w:t>Abigail earned her Bachelor of Arts in History from the University of Texas at Austin in 2018 and</w:t>
      </w:r>
      <w:r>
        <w:rPr>
          <w:color w:val="6E6158"/>
          <w:spacing w:val="40"/>
        </w:rPr>
        <w:t> </w:t>
      </w:r>
      <w:r>
        <w:rPr>
          <w:color w:val="6E6158"/>
        </w:rPr>
        <w:t>remained in Austin to attend the University of Texas School of Law. During law school, she served</w:t>
      </w:r>
      <w:r>
        <w:rPr>
          <w:color w:val="6E6158"/>
          <w:spacing w:val="40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Managing</w:t>
      </w:r>
      <w:r>
        <w:rPr>
          <w:color w:val="6E6158"/>
          <w:spacing w:val="24"/>
        </w:rPr>
        <w:t> </w:t>
      </w:r>
      <w:r>
        <w:rPr>
          <w:color w:val="6E6158"/>
        </w:rPr>
        <w:t>Editor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American</w:t>
      </w:r>
      <w:r>
        <w:rPr>
          <w:color w:val="6E6158"/>
          <w:spacing w:val="24"/>
        </w:rPr>
        <w:t> </w:t>
      </w:r>
      <w:r>
        <w:rPr>
          <w:color w:val="6E6158"/>
        </w:rPr>
        <w:t>Journal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Criminal</w:t>
      </w:r>
      <w:r>
        <w:rPr>
          <w:color w:val="6E6158"/>
          <w:spacing w:val="24"/>
        </w:rPr>
        <w:t> </w:t>
      </w:r>
      <w:r>
        <w:rPr>
          <w:color w:val="6E6158"/>
        </w:rPr>
        <w:t>Law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an</w:t>
      </w:r>
      <w:r>
        <w:rPr>
          <w:color w:val="6E6158"/>
          <w:spacing w:val="24"/>
        </w:rPr>
        <w:t> </w:t>
      </w:r>
      <w:r>
        <w:rPr>
          <w:color w:val="6E6158"/>
        </w:rPr>
        <w:t>Articles</w:t>
      </w:r>
      <w:r>
        <w:rPr>
          <w:color w:val="6E6158"/>
          <w:spacing w:val="24"/>
        </w:rPr>
        <w:t> </w:t>
      </w:r>
      <w:r>
        <w:rPr>
          <w:color w:val="6E6158"/>
        </w:rPr>
        <w:t>Editor</w:t>
      </w:r>
      <w:r>
        <w:rPr>
          <w:color w:val="6E6158"/>
          <w:spacing w:val="24"/>
        </w:rPr>
        <w:t> </w:t>
      </w:r>
      <w:r>
        <w:rPr>
          <w:color w:val="6E6158"/>
        </w:rPr>
        <w:t>for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</w:p>
    <w:p>
      <w:pPr>
        <w:pStyle w:val="BodyText"/>
        <w:spacing w:line="302" w:lineRule="auto"/>
        <w:ind w:left="99" w:right="384"/>
      </w:pPr>
      <w:r>
        <w:rPr>
          <w:color w:val="6E6158"/>
        </w:rPr>
        <w:t>Review of Litigation. She also competed on several mock trial teams and participated in </w:t>
      </w:r>
      <w:r>
        <w:rPr>
          <w:color w:val="6E6158"/>
        </w:rPr>
        <w:t>both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Actual</w:t>
      </w:r>
      <w:r>
        <w:rPr>
          <w:color w:val="6E6158"/>
          <w:spacing w:val="34"/>
        </w:rPr>
        <w:t> </w:t>
      </w:r>
      <w:r>
        <w:rPr>
          <w:color w:val="6E6158"/>
        </w:rPr>
        <w:t>Innocence</w:t>
      </w:r>
      <w:r>
        <w:rPr>
          <w:color w:val="6E6158"/>
          <w:spacing w:val="34"/>
        </w:rPr>
        <w:t> </w:t>
      </w:r>
      <w:r>
        <w:rPr>
          <w:color w:val="6E6158"/>
        </w:rPr>
        <w:t>Clinic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Children’s</w:t>
      </w:r>
      <w:r>
        <w:rPr>
          <w:color w:val="6E6158"/>
          <w:spacing w:val="34"/>
        </w:rPr>
        <w:t> </w:t>
      </w:r>
      <w:r>
        <w:rPr>
          <w:color w:val="6E6158"/>
        </w:rPr>
        <w:t>Rights</w:t>
      </w:r>
      <w:r>
        <w:rPr>
          <w:color w:val="6E6158"/>
          <w:spacing w:val="34"/>
        </w:rPr>
        <w:t> </w:t>
      </w:r>
      <w:r>
        <w:rPr>
          <w:color w:val="6E6158"/>
        </w:rPr>
        <w:t>Clinic,</w:t>
      </w:r>
      <w:r>
        <w:rPr>
          <w:color w:val="6E6158"/>
          <w:spacing w:val="34"/>
        </w:rPr>
        <w:t> </w:t>
      </w:r>
      <w:r>
        <w:rPr>
          <w:color w:val="6E6158"/>
        </w:rPr>
        <w:t>gaining</w:t>
      </w:r>
      <w:r>
        <w:rPr>
          <w:color w:val="6E6158"/>
          <w:spacing w:val="34"/>
        </w:rPr>
        <w:t> </w:t>
      </w:r>
      <w:r>
        <w:rPr>
          <w:color w:val="6E6158"/>
        </w:rPr>
        <w:t>hands-on</w:t>
      </w:r>
      <w:r>
        <w:rPr>
          <w:color w:val="6E6158"/>
          <w:spacing w:val="34"/>
        </w:rPr>
        <w:t> </w:t>
      </w:r>
      <w:r>
        <w:rPr>
          <w:color w:val="6E6158"/>
        </w:rPr>
        <w:t>advocacy</w:t>
      </w:r>
    </w:p>
    <w:p>
      <w:pPr>
        <w:pStyle w:val="BodyText"/>
        <w:spacing w:line="224" w:lineRule="exact"/>
        <w:ind w:left="99"/>
      </w:pPr>
      <w:r>
        <w:rPr>
          <w:color w:val="6E6158"/>
          <w:spacing w:val="-2"/>
        </w:rPr>
        <w:t>experience.</w:t>
      </w:r>
    </w:p>
    <w:p>
      <w:pPr>
        <w:pStyle w:val="BodyText"/>
        <w:spacing w:before="10"/>
      </w:pPr>
    </w:p>
    <w:p>
      <w:pPr>
        <w:pStyle w:val="BodyText"/>
        <w:spacing w:line="295" w:lineRule="auto" w:before="1"/>
        <w:ind w:left="99"/>
      </w:pPr>
      <w:r>
        <w:rPr>
          <w:color w:val="6E6158"/>
        </w:rPr>
        <w:t>Her legal training began during the COVID-19 pandemic, where she quickly adapted to remote</w:t>
      </w:r>
      <w:r>
        <w:rPr>
          <w:color w:val="6E6158"/>
          <w:spacing w:val="40"/>
        </w:rPr>
        <w:t> </w:t>
      </w:r>
      <w:r>
        <w:rPr>
          <w:color w:val="6E6158"/>
        </w:rPr>
        <w:t>proceedings. Abigail served as second chair in the first remote bench trial in Travis County family</w:t>
      </w:r>
      <w:r>
        <w:rPr>
          <w:color w:val="6E6158"/>
          <w:spacing w:val="40"/>
        </w:rPr>
        <w:t> </w:t>
      </w:r>
      <w:r>
        <w:rPr>
          <w:color w:val="6E6158"/>
        </w:rPr>
        <w:t>court in the summer of 2020 and frequently appeared virtually for hearings and conferences. She</w:t>
      </w:r>
      <w:r>
        <w:rPr>
          <w:color w:val="6E6158"/>
          <w:spacing w:val="40"/>
        </w:rPr>
        <w:t> </w:t>
      </w:r>
      <w:r>
        <w:rPr>
          <w:color w:val="6E6158"/>
        </w:rPr>
        <w:t>remains</w:t>
      </w:r>
      <w:r>
        <w:rPr>
          <w:color w:val="6E6158"/>
          <w:spacing w:val="27"/>
        </w:rPr>
        <w:t> </w:t>
      </w:r>
      <w:r>
        <w:rPr>
          <w:color w:val="6E6158"/>
        </w:rPr>
        <w:t>connected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University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Texas</w:t>
      </w:r>
      <w:r>
        <w:rPr>
          <w:color w:val="6E6158"/>
          <w:spacing w:val="27"/>
        </w:rPr>
        <w:t> </w:t>
      </w:r>
      <w:r>
        <w:rPr>
          <w:color w:val="6E6158"/>
        </w:rPr>
        <w:t>community,</w:t>
      </w:r>
      <w:r>
        <w:rPr>
          <w:color w:val="6E6158"/>
          <w:spacing w:val="27"/>
        </w:rPr>
        <w:t> </w:t>
      </w:r>
      <w:r>
        <w:rPr>
          <w:color w:val="6E6158"/>
        </w:rPr>
        <w:t>serving</w:t>
      </w:r>
      <w:r>
        <w:rPr>
          <w:color w:val="6E6158"/>
          <w:spacing w:val="27"/>
        </w:rPr>
        <w:t> </w:t>
      </w:r>
      <w:r>
        <w:rPr>
          <w:color w:val="6E6158"/>
        </w:rPr>
        <w:t>as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judge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the undergraduate mock trial competition hosted by the pre-law society.</w:t>
      </w:r>
    </w:p>
    <w:p>
      <w:pPr>
        <w:pStyle w:val="BodyText"/>
        <w:spacing w:line="302" w:lineRule="auto" w:before="194"/>
        <w:ind w:left="99"/>
      </w:pPr>
      <w:r>
        <w:rPr>
          <w:color w:val="6E6158"/>
        </w:rPr>
        <w:t>Before</w:t>
      </w:r>
      <w:r>
        <w:rPr>
          <w:color w:val="6E6158"/>
          <w:spacing w:val="13"/>
        </w:rPr>
        <w:t> </w:t>
      </w:r>
      <w:r>
        <w:rPr>
          <w:color w:val="6E6158"/>
        </w:rPr>
        <w:t>joining</w:t>
      </w:r>
      <w:r>
        <w:rPr>
          <w:color w:val="6E6158"/>
          <w:spacing w:val="13"/>
        </w:rPr>
        <w:t> </w:t>
      </w:r>
      <w:r>
        <w:rPr>
          <w:color w:val="6E6158"/>
        </w:rPr>
        <w:t>Fennemore,</w:t>
      </w:r>
      <w:r>
        <w:rPr>
          <w:color w:val="6E6158"/>
          <w:spacing w:val="13"/>
        </w:rPr>
        <w:t> </w:t>
      </w:r>
      <w:r>
        <w:rPr>
          <w:color w:val="6E6158"/>
        </w:rPr>
        <w:t>Abigail</w:t>
      </w:r>
      <w:r>
        <w:rPr>
          <w:color w:val="6E6158"/>
          <w:spacing w:val="13"/>
        </w:rPr>
        <w:t> </w:t>
      </w:r>
      <w:r>
        <w:rPr>
          <w:color w:val="6E6158"/>
        </w:rPr>
        <w:t>was</w:t>
      </w:r>
      <w:r>
        <w:rPr>
          <w:color w:val="6E6158"/>
          <w:spacing w:val="13"/>
        </w:rPr>
        <w:t> </w:t>
      </w:r>
      <w:r>
        <w:rPr>
          <w:color w:val="6E6158"/>
        </w:rPr>
        <w:t>an</w:t>
      </w:r>
      <w:r>
        <w:rPr>
          <w:color w:val="6E6158"/>
          <w:spacing w:val="13"/>
        </w:rPr>
        <w:t> </w:t>
      </w:r>
      <w:r>
        <w:rPr>
          <w:color w:val="6E6158"/>
        </w:rPr>
        <w:t>associate</w:t>
      </w:r>
      <w:r>
        <w:rPr>
          <w:color w:val="6E6158"/>
          <w:spacing w:val="13"/>
        </w:rPr>
        <w:t> </w:t>
      </w:r>
      <w:r>
        <w:rPr>
          <w:color w:val="6E6158"/>
        </w:rPr>
        <w:t>at</w:t>
      </w:r>
      <w:r>
        <w:rPr>
          <w:color w:val="6E6158"/>
          <w:spacing w:val="13"/>
        </w:rPr>
        <w:t> </w:t>
      </w:r>
      <w:r>
        <w:rPr>
          <w:color w:val="6E6158"/>
        </w:rPr>
        <w:t>Schmoyer</w:t>
      </w:r>
      <w:r>
        <w:rPr>
          <w:color w:val="6E6158"/>
          <w:spacing w:val="13"/>
        </w:rPr>
        <w:t> </w:t>
      </w:r>
      <w:r>
        <w:rPr>
          <w:color w:val="6E6158"/>
        </w:rPr>
        <w:t>Reinhard</w:t>
      </w:r>
      <w:r>
        <w:rPr>
          <w:color w:val="6E6158"/>
          <w:spacing w:val="13"/>
        </w:rPr>
        <w:t> </w:t>
      </w:r>
      <w:r>
        <w:rPr>
          <w:color w:val="6E6158"/>
        </w:rPr>
        <w:t>LLP,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San</w:t>
      </w:r>
      <w:r>
        <w:rPr>
          <w:color w:val="6E6158"/>
          <w:spacing w:val="13"/>
        </w:rPr>
        <w:t> </w:t>
      </w:r>
      <w:r>
        <w:rPr>
          <w:color w:val="6E6158"/>
        </w:rPr>
        <w:t>Antonio-based</w:t>
      </w:r>
      <w:r>
        <w:rPr>
          <w:color w:val="6E6158"/>
          <w:spacing w:val="35"/>
        </w:rPr>
        <w:t> </w:t>
      </w:r>
      <w:r>
        <w:rPr>
          <w:color w:val="6E6158"/>
        </w:rPr>
        <w:t>law</w:t>
      </w:r>
      <w:r>
        <w:rPr>
          <w:color w:val="6E6158"/>
          <w:spacing w:val="35"/>
        </w:rPr>
        <w:t> </w:t>
      </w:r>
      <w:r>
        <w:rPr>
          <w:color w:val="6E6158"/>
        </w:rPr>
        <w:t>firm</w:t>
      </w:r>
      <w:r>
        <w:rPr>
          <w:color w:val="6E6158"/>
          <w:spacing w:val="35"/>
        </w:rPr>
        <w:t> </w:t>
      </w:r>
      <w:r>
        <w:rPr>
          <w:color w:val="6E6158"/>
        </w:rPr>
        <w:t>specializing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labor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employment,</w:t>
      </w:r>
      <w:r>
        <w:rPr>
          <w:color w:val="6E6158"/>
          <w:spacing w:val="35"/>
        </w:rPr>
        <w:t> </w:t>
      </w:r>
      <w:r>
        <w:rPr>
          <w:color w:val="6E6158"/>
        </w:rPr>
        <w:t>construction,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business</w:t>
      </w:r>
      <w:r>
        <w:rPr>
          <w:color w:val="6E6158"/>
          <w:spacing w:val="35"/>
        </w:rPr>
        <w:t> </w:t>
      </w:r>
      <w:r>
        <w:rPr>
          <w:color w:val="6E6158"/>
        </w:rPr>
        <w:t>litigation.</w:t>
      </w:r>
    </w:p>
    <w:p>
      <w:pPr>
        <w:pStyle w:val="Heading1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158087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7824pt;width:1.65pt;height:1.65pt;mso-position-horizontal-relative:page;mso-position-vertical-relative:paragraph;z-index:15729152" id="docshape11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8"/>
        </w:rPr>
        <w:t> </w:t>
      </w:r>
      <w:r>
        <w:rPr>
          <w:color w:val="6E6158"/>
        </w:rPr>
        <w:t>University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Texas</w:t>
      </w:r>
      <w:r>
        <w:rPr>
          <w:color w:val="6E6158"/>
          <w:spacing w:val="8"/>
        </w:rPr>
        <w:t> </w:t>
      </w:r>
      <w:r>
        <w:rPr>
          <w:color w:val="6E6158"/>
        </w:rPr>
        <w:t>School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spacing w:before="73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29664" id="docshape12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B.A.,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Texas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at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Austin,</w:t>
      </w:r>
      <w:r>
        <w:rPr>
          <w:color w:val="6E6158"/>
          <w:spacing w:val="2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Heading1"/>
        <w:spacing w:before="21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157934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5753pt;width:1.65pt;height:1.65pt;mso-position-horizontal-relative:page;mso-position-vertical-relative:paragraph;z-index:15730176" id="docshape13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Employment</w:t>
      </w:r>
      <w:r>
        <w:rPr>
          <w:color w:val="6E6158"/>
          <w:spacing w:val="12"/>
        </w:rPr>
        <w:t> </w:t>
      </w:r>
      <w:r>
        <w:rPr>
          <w:color w:val="6E6158"/>
        </w:rPr>
        <w:t>&amp;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Labor</w:t>
      </w:r>
    </w:p>
    <w:p>
      <w:pPr>
        <w:pStyle w:val="BodyText"/>
        <w:spacing w:before="49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292" w:lineRule="auto" w:before="147"/>
        <w:ind w:left="351" w:right="2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245599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38545pt;width:1.65pt;height:1.65pt;mso-position-horizontal-relative:page;mso-position-vertical-relative:paragraph;z-index:15730688" id="docshape14" coordorigin="1670,387" coordsize="33,33" path="m1691,419l1682,419,1678,418,1671,411,1670,408,1670,399,1671,395,1678,388,1682,387,1691,387,1694,388,1701,395,1702,399,1702,403,1702,408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 Best Lawyers in America: Ones to Watch®, Labor and Employment Law – </w:t>
      </w:r>
      <w:r>
        <w:rPr>
          <w:color w:val="6E6158"/>
        </w:rPr>
        <w:t>Management and Litigation – Labor and Employment, 2026</w:t>
      </w:r>
    </w:p>
    <w:p>
      <w:pPr>
        <w:pStyle w:val="BodyText"/>
        <w:spacing w:line="417" w:lineRule="auto" w:before="113"/>
        <w:ind w:left="351" w:right="23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142692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5642pt;width:1.65pt;height:1.65pt;mso-position-horizontal-relative:page;mso-position-vertical-relative:paragraph;z-index:15731200" id="docshape15" coordorigin="1670,225" coordsize="33,33" path="m1691,257l1682,257,1678,256,1671,249,1670,245,1670,236,1671,233,1678,226,1682,225,1691,225,1694,226,1701,233,1702,236,1702,241,1702,245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401058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579393pt;width:1.65pt;height:1.65pt;mso-position-horizontal-relative:page;mso-position-vertical-relative:paragraph;z-index:15731712" id="docshape16" coordorigin="1670,632" coordsize="33,33" path="m1691,664l1682,664,1678,663,1671,656,1670,652,1670,643,1671,640,1678,633,1682,632,1691,632,1694,633,1701,640,1702,643,1702,648,1702,652,1701,656,1694,663,1691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659424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1.923157pt;width:1.65pt;height:1.65pt;mso-position-horizontal-relative:page;mso-position-vertical-relative:paragraph;z-index:15732224" id="docshape17" coordorigin="1670,1038" coordsize="33,33" path="m1691,1071l1682,1071,1678,1069,1671,1063,1670,1059,1670,1050,1671,1046,1678,1040,1682,1038,1691,1038,1694,1040,1701,1046,1702,1050,1702,1055,1702,1059,1701,1063,1694,1069,1691,10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Top</w:t>
      </w:r>
      <w:r>
        <w:rPr>
          <w:color w:val="6E6158"/>
          <w:spacing w:val="27"/>
        </w:rPr>
        <w:t> </w:t>
      </w:r>
      <w:r>
        <w:rPr>
          <w:color w:val="6E6158"/>
        </w:rPr>
        <w:t>Labor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Employment</w:t>
      </w:r>
      <w:r>
        <w:rPr>
          <w:color w:val="6E6158"/>
          <w:spacing w:val="27"/>
        </w:rPr>
        <w:t> </w:t>
      </w:r>
      <w:r>
        <w:rPr>
          <w:color w:val="6E6158"/>
        </w:rPr>
        <w:t>Attorney,</w:t>
      </w:r>
      <w:r>
        <w:rPr>
          <w:color w:val="6E6158"/>
          <w:spacing w:val="27"/>
        </w:rPr>
        <w:t> </w:t>
      </w:r>
      <w:r>
        <w:rPr>
          <w:i/>
          <w:color w:val="6E6158"/>
          <w:sz w:val="20"/>
        </w:rPr>
        <w:t>San</w:t>
      </w:r>
      <w:r>
        <w:rPr>
          <w:i/>
          <w:color w:val="6E6158"/>
          <w:spacing w:val="23"/>
          <w:sz w:val="20"/>
        </w:rPr>
        <w:t> </w:t>
      </w:r>
      <w:r>
        <w:rPr>
          <w:i/>
          <w:color w:val="6E6158"/>
          <w:sz w:val="20"/>
        </w:rPr>
        <w:t>Antonio</w:t>
      </w:r>
      <w:r>
        <w:rPr>
          <w:i/>
          <w:color w:val="6E6158"/>
          <w:spacing w:val="23"/>
          <w:sz w:val="20"/>
        </w:rPr>
        <w:t> </w:t>
      </w:r>
      <w:r>
        <w:rPr>
          <w:i/>
          <w:color w:val="6E6158"/>
          <w:sz w:val="20"/>
        </w:rPr>
        <w:t>Magazine</w:t>
      </w:r>
      <w:r>
        <w:rPr>
          <w:color w:val="6E6158"/>
        </w:rPr>
        <w:t>,</w:t>
      </w:r>
      <w:r>
        <w:rPr>
          <w:color w:val="6E6158"/>
          <w:spacing w:val="27"/>
        </w:rPr>
        <w:t> </w:t>
      </w:r>
      <w:r>
        <w:rPr>
          <w:color w:val="6E6158"/>
        </w:rPr>
        <w:t>2025</w:t>
      </w:r>
      <w:r>
        <w:rPr>
          <w:color w:val="6E6158"/>
        </w:rPr>
        <w:t> San Antonio’s Best Labor And Employment Lawyers, Scene in S.A., 2024 Rising Star S.A. Lawyer, Scene in S.A., 2024</w:t>
      </w:r>
    </w:p>
    <w:p>
      <w:pPr>
        <w:pStyle w:val="BodyText"/>
        <w:spacing w:before="1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65481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5606pt;width:1.65pt;height:1.65pt;mso-position-horizontal-relative:page;mso-position-vertical-relative:paragraph;z-index:15732736" id="docshape18" coordorigin="1670,103" coordsize="33,33" path="m1691,136l1682,136,1678,134,1671,128,1670,124,1670,115,1671,111,1678,105,1682,103,1691,103,1694,105,1701,111,1702,115,1702,119,1702,124,1701,128,1694,134,1691,13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San</w:t>
      </w:r>
      <w:r>
        <w:rPr>
          <w:color w:val="6E6158"/>
          <w:spacing w:val="12"/>
        </w:rPr>
        <w:t> </w:t>
      </w:r>
      <w:r>
        <w:rPr>
          <w:color w:val="6E6158"/>
        </w:rPr>
        <w:t>Antonio’s</w:t>
      </w:r>
      <w:r>
        <w:rPr>
          <w:color w:val="6E6158"/>
          <w:spacing w:val="12"/>
        </w:rPr>
        <w:t> </w:t>
      </w:r>
      <w:r>
        <w:rPr>
          <w:color w:val="6E6158"/>
        </w:rPr>
        <w:t>Outstanding</w:t>
      </w:r>
      <w:r>
        <w:rPr>
          <w:color w:val="6E6158"/>
          <w:spacing w:val="12"/>
        </w:rPr>
        <w:t> </w:t>
      </w:r>
      <w:r>
        <w:rPr>
          <w:color w:val="6E6158"/>
        </w:rPr>
        <w:t>Women</w:t>
      </w:r>
      <w:r>
        <w:rPr>
          <w:color w:val="6E6158"/>
          <w:spacing w:val="13"/>
        </w:rPr>
        <w:t> </w:t>
      </w:r>
      <w:r>
        <w:rPr>
          <w:color w:val="6E6158"/>
        </w:rPr>
        <w:t>Lawyers,</w:t>
      </w:r>
      <w:r>
        <w:rPr>
          <w:color w:val="6E6158"/>
          <w:spacing w:val="12"/>
        </w:rPr>
        <w:t> </w:t>
      </w:r>
      <w:r>
        <w:rPr>
          <w:color w:val="6E6158"/>
        </w:rPr>
        <w:t>Scene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S.A.,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250937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58835pt;width:1.65pt;height:1.65pt;mso-position-horizontal-relative:page;mso-position-vertical-relative:paragraph;z-index:15733248" id="docshape19" coordorigin="1670,395" coordsize="33,33" path="m1691,428l1682,428,1678,426,1671,420,1670,416,1670,407,1671,403,1678,397,1682,395,1691,395,1694,397,1701,403,1702,407,1702,411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Pregnant Workers Fairness Act: Changes Since Implementation and Real-</w:t>
      </w:r>
      <w:r>
        <w:rPr>
          <w:color w:val="6E6158"/>
        </w:rPr>
        <w:t>Time Effects on the Workplace,” Lawline, January 29, 2025</w:t>
      </w:r>
    </w:p>
    <w:p>
      <w:pPr>
        <w:pStyle w:val="BodyText"/>
        <w:spacing w:line="292" w:lineRule="auto" w:before="113"/>
        <w:ind w:left="351" w:right="2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224040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0963pt;width:1.65pt;height:1.65pt;mso-position-horizontal-relative:page;mso-position-vertical-relative:paragraph;z-index:15733760" id="docshape20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The New World of Pregnancy Accommodations,” The University of Texas School of Law 31st Annual Labor and Employment Law Conference, May 31, 2024</w:t>
      </w:r>
    </w:p>
    <w:p>
      <w:pPr>
        <w:pStyle w:val="Heading1"/>
        <w:spacing w:before="284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55"/>
        <w:ind w:left="351" w:right="25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157910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392pt;width:1.65pt;height:1.65pt;mso-position-horizontal-relative:page;mso-position-vertical-relative:paragraph;z-index:15734272" id="docshape21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416276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7668pt;width:1.65pt;height:1.65pt;mso-position-horizontal-relative:page;mso-position-vertical-relative:paragraph;z-index:15734784" id="docshape22" coordorigin="1670,656" coordsize="33,33" path="m1691,688l1682,688,1678,687,1671,680,1670,676,1670,667,1671,663,1678,657,1682,656,1691,656,1694,657,1701,663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Director, San Antonio Young Lawyers Association, 2025 – </w:t>
      </w:r>
      <w:r>
        <w:rPr>
          <w:color w:val="6E6158"/>
        </w:rPr>
        <w:t>2026 Member, San Antonio Bar Association, 2022 – Present</w:t>
      </w:r>
    </w:p>
    <w:p>
      <w:pPr>
        <w:pStyle w:val="BodyText"/>
        <w:spacing w:line="420" w:lineRule="auto"/>
        <w:ind w:left="351" w:right="23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63643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1308pt;width:1.65pt;height:1.65pt;mso-position-horizontal-relative:page;mso-position-vertical-relative:paragraph;z-index:15735296" id="docshape23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322009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55051pt;width:1.65pt;height:1.65pt;mso-position-horizontal-relative:page;mso-position-vertical-relative:paragraph;z-index:15735808" id="docshape24" coordorigin="1670,507" coordsize="33,33" path="m1691,540l1682,540,1678,538,1671,532,1670,528,1670,519,1671,515,1678,509,1682,507,1691,507,1694,509,1701,515,1702,519,1702,523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San Antonio Legal Services Association, 2022 – </w:t>
      </w:r>
      <w:r>
        <w:rPr>
          <w:color w:val="6E6158"/>
        </w:rPr>
        <w:t>Present Member, Centro, 2022 – Present</w:t>
      </w:r>
    </w:p>
    <w:p>
      <w:pPr>
        <w:pStyle w:val="Heading1"/>
        <w:spacing w:before="166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152751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7702pt;width:1.65pt;height:1.65pt;mso-position-horizontal-relative:page;mso-position-vertical-relative:paragraph;z-index:15736320" id="docshape25" coordorigin="1670,241" coordsize="33,33" path="m1691,273l1682,273,1678,272,1671,265,1670,261,1670,252,1671,248,1678,242,1682,241,1691,241,1694,242,1701,248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175013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0613pt;width:1.65pt;height:1.65pt;mso-position-horizontal-relative:page;mso-position-vertical-relative:paragraph;z-index:15736832" id="docshape26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174963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665pt;width:1.65pt;height:1.65pt;mso-position-horizontal-relative:page;mso-position-vertical-relative:paragraph;z-index:15737344" id="docshape27" coordorigin="1670,276" coordsize="33,33" path="m1691,308l1682,308,1678,306,1671,300,1670,296,1670,287,1671,283,1678,277,1682,276,1691,276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Courts,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8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174913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2689pt;width:1.65pt;height:1.65pt;mso-position-horizontal-relative:page;mso-position-vertical-relative:paragraph;z-index:15737856" id="docshape28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169782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68727pt;width:1.65pt;height:1.65pt;mso-position-horizontal-relative:page;mso-position-vertical-relative:paragraph;z-index:15738368" id="docshape29" coordorigin="1670,267" coordsize="33,33" path="m1691,300l1682,300,1678,298,1671,292,1670,288,1670,279,1671,275,1678,269,1682,267,1691,267,1694,269,1701,275,1702,279,1702,284,1702,288,1701,292,1694,298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Texas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san-antonio/" TargetMode="External"/><Relationship Id="rId10" Type="http://schemas.openxmlformats.org/officeDocument/2006/relationships/hyperlink" Target="mailto:aorgero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Abigail Mary Orgeron - Fennemore</dc:title>
  <dcterms:created xsi:type="dcterms:W3CDTF">2025-12-01T20:47:55Z</dcterms:created>
  <dcterms:modified xsi:type="dcterms:W3CDTF">2025-12-01T20:47:55Z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2025-12-01T00:00:00Z</vt:filetime>
  </property>
  <property fmtid="{D5CDD505-2E9C-101B-9397-08002B2CF9AE}" pid="5" name="Producer">
    <vt:lpwstr>Skia/PDF m142</vt:lpwstr>
  </property>
</Properties>
</file>