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spacing w:before="236"/>
        <w:ind w:left="0"/>
        <w:rPr>
          <w:rFonts w:ascii="Times New Roman"/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-2956956</wp:posOffset>
                </wp:positionV>
                <wp:extent cx="6071870" cy="288861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Bruna Pedrini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518929" y="1369338"/>
                            <a:ext cx="2072639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2639" h="320675">
                                <a:moveTo>
                                  <a:pt x="2072093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2072093" y="320382"/>
                                </a:lnTo>
                                <a:lnTo>
                                  <a:pt x="2072093" y="315214"/>
                                </a:lnTo>
                                <a:close/>
                              </a:path>
                              <a:path w="2072639" h="320675">
                                <a:moveTo>
                                  <a:pt x="20720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072093" y="5168"/>
                                </a:lnTo>
                                <a:lnTo>
                                  <a:pt x="20720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517728" y="763308"/>
                            <a:ext cx="2084705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BRUNA E.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PEDRINI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Employment</w:t>
                                </w:r>
                                <w:r>
                                  <w:rPr>
                                    <w:color w:val="FFFFFF"/>
                                    <w:spacing w:val="5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5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Labor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357416" y="1859626"/>
                            <a:ext cx="40513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93946" y="2019783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602.916.5487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38990" y="2019783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602.916.5687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805321" y="2226505"/>
                            <a:ext cx="150939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bpedrini@fennemorelaw.com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32.831253pt;width:478.1pt;height:227.45pt;mso-position-horizontal-relative:page;mso-position-vertical-relative:paragraph;z-index:15728640" id="docshapegroup1" coordorigin="1336,-4657" coordsize="9562,4549">
                <v:shape style="position:absolute;left:1336;top:-4657;width:2165;height:424" type="#_x0000_t75" id="docshape2" alt="Fennemore" href="https://www.fennemorelaw.com/" stroked="false">
                  <v:imagedata r:id="rId5" o:title=""/>
                </v:shape>
                <v:shape style="position:absolute;left:1336;top:-4234;width:4785;height:4126" type="#_x0000_t75" id="docshape3" alt="Bruna Pedrini" stroked="false">
                  <v:imagedata r:id="rId7" o:title=""/>
                </v:shape>
                <v:rect style="position:absolute;left:6121;top:-4234;width:4777;height:4126" id="docshape4" filled="true" fillcolor="#262424" stroked="false">
                  <v:fill type="solid"/>
                </v:rect>
                <v:shape style="position:absolute;left:6877;top:-2501;width:3264;height:505" id="docshape5" coordorigin="6878,-2500" coordsize="3264,505" path="m10141,-2004l6878,-2004,6878,-1996,10141,-1996,10141,-2004xm10141,-2500l6878,-2500,6878,-2492,10141,-2492,10141,-2500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875;top:-3455;width:3283;height:1300" type="#_x0000_t202" id="docshape6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BRUNA E.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PEDRINI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Employment</w:t>
                          </w:r>
                          <w:r>
                            <w:rPr>
                              <w:color w:val="FFFFFF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Labor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198;top:-1729;width:638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95;top:-1476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602.916.5487</w:t>
                        </w:r>
                      </w:p>
                    </w:txbxContent>
                  </v:textbox>
                  <w10:wrap type="none"/>
                </v:shape>
                <v:shape style="position:absolute;left:8799;top:-1476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602.916.5687</w:t>
                        </w:r>
                      </w:p>
                    </w:txbxContent>
                  </v:textbox>
                  <w10:wrap type="none"/>
                </v:shape>
                <v:shape style="position:absolute;left:7328;top:-1151;width:2377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bpedrini@fennemorelaw.com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002E6B"/>
          <w:sz w:val="24"/>
        </w:rPr>
        <w:t>BRUNA</w:t>
      </w:r>
      <w:r>
        <w:rPr>
          <w:b/>
          <w:color w:val="002E6B"/>
          <w:spacing w:val="5"/>
          <w:sz w:val="24"/>
        </w:rPr>
        <w:t> </w:t>
      </w:r>
      <w:r>
        <w:rPr>
          <w:b/>
          <w:color w:val="002E6B"/>
          <w:sz w:val="24"/>
        </w:rPr>
        <w:t>E.</w:t>
      </w:r>
      <w:r>
        <w:rPr>
          <w:b/>
          <w:color w:val="002E6B"/>
          <w:spacing w:val="6"/>
          <w:sz w:val="24"/>
        </w:rPr>
        <w:t> </w:t>
      </w:r>
      <w:r>
        <w:rPr>
          <w:b/>
          <w:color w:val="002E6B"/>
          <w:spacing w:val="-2"/>
          <w:sz w:val="24"/>
        </w:rPr>
        <w:t>PEDRINI</w:t>
      </w:r>
    </w:p>
    <w:p>
      <w:pPr>
        <w:pStyle w:val="BodyText"/>
        <w:spacing w:line="295" w:lineRule="auto" w:before="147"/>
        <w:ind w:left="99" w:right="106"/>
      </w:pPr>
      <w:r>
        <w:rPr>
          <w:color w:val="6E6158"/>
        </w:rPr>
        <w:t>Bruna</w:t>
      </w:r>
      <w:r>
        <w:rPr>
          <w:color w:val="6E6158"/>
          <w:spacing w:val="30"/>
        </w:rPr>
        <w:t> </w:t>
      </w:r>
      <w:r>
        <w:rPr>
          <w:color w:val="6E6158"/>
        </w:rPr>
        <w:t>focuses</w:t>
      </w:r>
      <w:r>
        <w:rPr>
          <w:color w:val="6E6158"/>
          <w:spacing w:val="30"/>
        </w:rPr>
        <w:t> </w:t>
      </w:r>
      <w:r>
        <w:rPr>
          <w:color w:val="6E6158"/>
        </w:rPr>
        <w:t>her</w:t>
      </w:r>
      <w:r>
        <w:rPr>
          <w:color w:val="6E6158"/>
          <w:spacing w:val="30"/>
        </w:rPr>
        <w:t> </w:t>
      </w:r>
      <w:r>
        <w:rPr>
          <w:color w:val="6E6158"/>
        </w:rPr>
        <w:t>practice</w:t>
      </w:r>
      <w:r>
        <w:rPr>
          <w:color w:val="6E6158"/>
          <w:spacing w:val="30"/>
        </w:rPr>
        <w:t> </w:t>
      </w:r>
      <w:r>
        <w:rPr>
          <w:color w:val="6E6158"/>
        </w:rPr>
        <w:t>on</w:t>
      </w:r>
      <w:r>
        <w:rPr>
          <w:color w:val="6E6158"/>
          <w:spacing w:val="30"/>
        </w:rPr>
        <w:t> </w:t>
      </w:r>
      <w:r>
        <w:rPr>
          <w:color w:val="6E6158"/>
        </w:rPr>
        <w:t>education</w:t>
      </w:r>
      <w:r>
        <w:rPr>
          <w:color w:val="6E6158"/>
          <w:spacing w:val="30"/>
        </w:rPr>
        <w:t> </w:t>
      </w:r>
      <w:r>
        <w:rPr>
          <w:color w:val="6E6158"/>
        </w:rPr>
        <w:t>law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employment</w:t>
      </w:r>
      <w:r>
        <w:rPr>
          <w:color w:val="6E6158"/>
          <w:spacing w:val="30"/>
        </w:rPr>
        <w:t> </w:t>
      </w:r>
      <w:r>
        <w:rPr>
          <w:color w:val="6E6158"/>
        </w:rPr>
        <w:t>law,</w:t>
      </w:r>
      <w:r>
        <w:rPr>
          <w:color w:val="6E6158"/>
          <w:spacing w:val="30"/>
        </w:rPr>
        <w:t> </w:t>
      </w:r>
      <w:r>
        <w:rPr>
          <w:color w:val="6E6158"/>
        </w:rPr>
        <w:t>with</w:t>
      </w:r>
      <w:r>
        <w:rPr>
          <w:color w:val="6E6158"/>
          <w:spacing w:val="30"/>
        </w:rPr>
        <w:t> </w:t>
      </w:r>
      <w:r>
        <w:rPr>
          <w:color w:val="6E6158"/>
        </w:rPr>
        <w:t>a</w:t>
      </w:r>
      <w:r>
        <w:rPr>
          <w:color w:val="6E6158"/>
          <w:spacing w:val="30"/>
        </w:rPr>
        <w:t> </w:t>
      </w:r>
      <w:r>
        <w:rPr>
          <w:color w:val="6E6158"/>
        </w:rPr>
        <w:t>particular</w:t>
      </w:r>
      <w:r>
        <w:rPr>
          <w:color w:val="6E6158"/>
          <w:spacing w:val="30"/>
        </w:rPr>
        <w:t> </w:t>
      </w:r>
      <w:r>
        <w:rPr>
          <w:color w:val="6E6158"/>
        </w:rPr>
        <w:t>emphasis on</w:t>
      </w:r>
      <w:r>
        <w:rPr>
          <w:color w:val="6E6158"/>
          <w:spacing w:val="40"/>
        </w:rPr>
        <w:t> </w:t>
      </w:r>
      <w:r>
        <w:rPr>
          <w:color w:val="6E6158"/>
        </w:rPr>
        <w:t>compliance,</w:t>
      </w:r>
      <w:r>
        <w:rPr>
          <w:color w:val="6E6158"/>
          <w:spacing w:val="40"/>
        </w:rPr>
        <w:t> </w:t>
      </w:r>
      <w:r>
        <w:rPr>
          <w:color w:val="6E6158"/>
        </w:rPr>
        <w:t>administrative</w:t>
      </w:r>
      <w:r>
        <w:rPr>
          <w:color w:val="6E6158"/>
          <w:spacing w:val="40"/>
        </w:rPr>
        <w:t> </w:t>
      </w:r>
      <w:r>
        <w:rPr>
          <w:color w:val="6E6158"/>
        </w:rPr>
        <w:t>investigations,</w:t>
      </w:r>
      <w:r>
        <w:rPr>
          <w:color w:val="6E6158"/>
          <w:spacing w:val="40"/>
        </w:rPr>
        <w:t> </w:t>
      </w:r>
      <w:r>
        <w:rPr>
          <w:color w:val="6E6158"/>
        </w:rPr>
        <w:t>accessibility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anti-discrimination</w:t>
      </w:r>
      <w:r>
        <w:rPr>
          <w:color w:val="6E6158"/>
          <w:spacing w:val="40"/>
        </w:rPr>
        <w:t> </w:t>
      </w:r>
      <w:r>
        <w:rPr>
          <w:color w:val="6E6158"/>
        </w:rPr>
        <w:t>issues.</w:t>
      </w:r>
      <w:r>
        <w:rPr>
          <w:color w:val="6E6158"/>
          <w:spacing w:val="40"/>
        </w:rPr>
        <w:t> </w:t>
      </w:r>
      <w:r>
        <w:rPr>
          <w:color w:val="6E6158"/>
        </w:rPr>
        <w:t>She brings extensive, high-level experience advising educational institutions and employers, </w:t>
      </w:r>
      <w:r>
        <w:rPr>
          <w:color w:val="6E6158"/>
        </w:rPr>
        <w:t>including</w:t>
      </w:r>
      <w:r>
        <w:rPr>
          <w:color w:val="6E6158"/>
          <w:spacing w:val="80"/>
        </w:rPr>
        <w:t> </w:t>
      </w:r>
      <w:r>
        <w:rPr>
          <w:color w:val="6E6158"/>
        </w:rPr>
        <w:t>K-12</w:t>
      </w:r>
      <w:r>
        <w:rPr>
          <w:color w:val="6E6158"/>
          <w:spacing w:val="35"/>
        </w:rPr>
        <w:t> </w:t>
      </w:r>
      <w:r>
        <w:rPr>
          <w:color w:val="6E6158"/>
        </w:rPr>
        <w:t>public</w:t>
      </w:r>
      <w:r>
        <w:rPr>
          <w:color w:val="6E6158"/>
          <w:spacing w:val="35"/>
        </w:rPr>
        <w:t> </w:t>
      </w:r>
      <w:r>
        <w:rPr>
          <w:color w:val="6E6158"/>
        </w:rPr>
        <w:t>charter</w:t>
      </w:r>
      <w:r>
        <w:rPr>
          <w:color w:val="6E6158"/>
          <w:spacing w:val="35"/>
        </w:rPr>
        <w:t> </w:t>
      </w:r>
      <w:r>
        <w:rPr>
          <w:color w:val="6E6158"/>
        </w:rPr>
        <w:t>schools,</w:t>
      </w:r>
      <w:r>
        <w:rPr>
          <w:color w:val="6E6158"/>
          <w:spacing w:val="35"/>
        </w:rPr>
        <w:t> </w:t>
      </w:r>
      <w:r>
        <w:rPr>
          <w:color w:val="6E6158"/>
        </w:rPr>
        <w:t>colleges,</w:t>
      </w:r>
      <w:r>
        <w:rPr>
          <w:color w:val="6E6158"/>
          <w:spacing w:val="35"/>
        </w:rPr>
        <w:t> </w:t>
      </w:r>
      <w:r>
        <w:rPr>
          <w:color w:val="6E6158"/>
        </w:rPr>
        <w:t>universities,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corporate</w:t>
      </w:r>
      <w:r>
        <w:rPr>
          <w:color w:val="6E6158"/>
          <w:spacing w:val="35"/>
        </w:rPr>
        <w:t> </w:t>
      </w:r>
      <w:r>
        <w:rPr>
          <w:color w:val="6E6158"/>
        </w:rPr>
        <w:t>clients,</w:t>
      </w:r>
      <w:r>
        <w:rPr>
          <w:color w:val="6E6158"/>
          <w:spacing w:val="35"/>
        </w:rPr>
        <w:t> </w:t>
      </w:r>
      <w:r>
        <w:rPr>
          <w:color w:val="6E6158"/>
        </w:rPr>
        <w:t>on</w:t>
      </w:r>
      <w:r>
        <w:rPr>
          <w:color w:val="6E6158"/>
          <w:spacing w:val="35"/>
        </w:rPr>
        <w:t> </w:t>
      </w:r>
      <w:r>
        <w:rPr>
          <w:color w:val="6E6158"/>
        </w:rPr>
        <w:t>compliance</w:t>
      </w:r>
      <w:r>
        <w:rPr>
          <w:color w:val="6E6158"/>
          <w:spacing w:val="35"/>
        </w:rPr>
        <w:t> </w:t>
      </w:r>
      <w:r>
        <w:rPr>
          <w:color w:val="6E6158"/>
        </w:rPr>
        <w:t>with</w:t>
      </w:r>
    </w:p>
    <w:p>
      <w:pPr>
        <w:pStyle w:val="BodyText"/>
        <w:spacing w:before="9"/>
        <w:ind w:left="99"/>
      </w:pPr>
      <w:r>
        <w:rPr>
          <w:color w:val="6E6158"/>
        </w:rPr>
        <w:t>federal,</w:t>
      </w:r>
      <w:r>
        <w:rPr>
          <w:color w:val="6E6158"/>
          <w:spacing w:val="7"/>
        </w:rPr>
        <w:t> </w:t>
      </w:r>
      <w:r>
        <w:rPr>
          <w:color w:val="6E6158"/>
        </w:rPr>
        <w:t>state,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</w:rPr>
        <w:t>local</w:t>
      </w:r>
      <w:r>
        <w:rPr>
          <w:color w:val="6E6158"/>
          <w:spacing w:val="9"/>
        </w:rPr>
        <w:t> </w:t>
      </w:r>
      <w:r>
        <w:rPr>
          <w:color w:val="6E6158"/>
        </w:rPr>
        <w:t>laws</w:t>
      </w:r>
      <w:r>
        <w:rPr>
          <w:color w:val="6E6158"/>
          <w:spacing w:val="10"/>
        </w:rPr>
        <w:t> </w:t>
      </w:r>
      <w:r>
        <w:rPr>
          <w:color w:val="6E6158"/>
        </w:rPr>
        <w:t>such</w:t>
      </w:r>
      <w:r>
        <w:rPr>
          <w:color w:val="6E6158"/>
          <w:spacing w:val="10"/>
        </w:rPr>
        <w:t> </w:t>
      </w:r>
      <w:r>
        <w:rPr>
          <w:color w:val="6E6158"/>
        </w:rPr>
        <w:t>as</w:t>
      </w:r>
      <w:r>
        <w:rPr>
          <w:color w:val="6E6158"/>
          <w:spacing w:val="9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ADA,</w:t>
      </w:r>
      <w:r>
        <w:rPr>
          <w:color w:val="6E6158"/>
          <w:spacing w:val="10"/>
        </w:rPr>
        <w:t> </w:t>
      </w:r>
      <w:r>
        <w:rPr>
          <w:color w:val="6E6158"/>
        </w:rPr>
        <w:t>Title</w:t>
      </w:r>
      <w:r>
        <w:rPr>
          <w:color w:val="6E6158"/>
          <w:spacing w:val="9"/>
        </w:rPr>
        <w:t> </w:t>
      </w:r>
      <w:r>
        <w:rPr>
          <w:color w:val="6E6158"/>
        </w:rPr>
        <w:t>IX,</w:t>
      </w:r>
      <w:r>
        <w:rPr>
          <w:color w:val="6E6158"/>
          <w:spacing w:val="10"/>
        </w:rPr>
        <w:t> </w:t>
      </w:r>
      <w:r>
        <w:rPr>
          <w:color w:val="6E6158"/>
        </w:rPr>
        <w:t>Title</w:t>
      </w:r>
      <w:r>
        <w:rPr>
          <w:color w:val="6E6158"/>
          <w:spacing w:val="10"/>
        </w:rPr>
        <w:t> </w:t>
      </w:r>
      <w:r>
        <w:rPr>
          <w:color w:val="6E6158"/>
        </w:rPr>
        <w:t>VI,</w:t>
      </w:r>
      <w:r>
        <w:rPr>
          <w:color w:val="6E6158"/>
          <w:spacing w:val="9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</w:rPr>
        <w:t>Title</w:t>
      </w:r>
      <w:r>
        <w:rPr>
          <w:color w:val="6E6158"/>
          <w:spacing w:val="10"/>
        </w:rPr>
        <w:t> </w:t>
      </w:r>
      <w:r>
        <w:rPr>
          <w:color w:val="6E6158"/>
        </w:rPr>
        <w:t>VII</w:t>
      </w:r>
      <w:r>
        <w:rPr>
          <w:color w:val="6E6158"/>
          <w:spacing w:val="9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</w:rPr>
        <w:t>Fair</w:t>
      </w:r>
      <w:r>
        <w:rPr>
          <w:color w:val="6E6158"/>
          <w:spacing w:val="10"/>
        </w:rPr>
        <w:t> </w:t>
      </w:r>
      <w:r>
        <w:rPr>
          <w:color w:val="6E6158"/>
        </w:rPr>
        <w:t>Housing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laws.</w:t>
      </w:r>
    </w:p>
    <w:p>
      <w:pPr>
        <w:pStyle w:val="BodyText"/>
        <w:spacing w:before="14"/>
        <w:ind w:left="0"/>
      </w:pPr>
    </w:p>
    <w:p>
      <w:pPr>
        <w:pStyle w:val="BodyText"/>
        <w:spacing w:before="1"/>
        <w:ind w:left="99"/>
      </w:pPr>
      <w:r>
        <w:rPr>
          <w:color w:val="6E6158"/>
        </w:rPr>
        <w:t>Bruna</w:t>
      </w:r>
      <w:r>
        <w:rPr>
          <w:color w:val="6E6158"/>
          <w:spacing w:val="12"/>
        </w:rPr>
        <w:t> </w:t>
      </w:r>
      <w:r>
        <w:rPr>
          <w:color w:val="6E6158"/>
        </w:rPr>
        <w:t>represents</w:t>
      </w:r>
      <w:r>
        <w:rPr>
          <w:color w:val="6E6158"/>
          <w:spacing w:val="13"/>
        </w:rPr>
        <w:t> </w:t>
      </w:r>
      <w:r>
        <w:rPr>
          <w:color w:val="6E6158"/>
        </w:rPr>
        <w:t>educational</w:t>
      </w:r>
      <w:r>
        <w:rPr>
          <w:color w:val="6E6158"/>
          <w:spacing w:val="13"/>
        </w:rPr>
        <w:t> </w:t>
      </w:r>
      <w:r>
        <w:rPr>
          <w:color w:val="6E6158"/>
        </w:rPr>
        <w:t>institutions</w:t>
      </w:r>
      <w:r>
        <w:rPr>
          <w:color w:val="6E6158"/>
          <w:spacing w:val="13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a</w:t>
      </w:r>
      <w:r>
        <w:rPr>
          <w:color w:val="6E6158"/>
          <w:spacing w:val="13"/>
        </w:rPr>
        <w:t> </w:t>
      </w:r>
      <w:r>
        <w:rPr>
          <w:color w:val="6E6158"/>
        </w:rPr>
        <w:t>wide</w:t>
      </w:r>
      <w:r>
        <w:rPr>
          <w:color w:val="6E6158"/>
          <w:spacing w:val="13"/>
        </w:rPr>
        <w:t> </w:t>
      </w:r>
      <w:r>
        <w:rPr>
          <w:color w:val="6E6158"/>
        </w:rPr>
        <w:t>range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matters,</w:t>
      </w:r>
      <w:r>
        <w:rPr>
          <w:color w:val="6E6158"/>
          <w:spacing w:val="13"/>
        </w:rPr>
        <w:t> </w:t>
      </w:r>
      <w:r>
        <w:rPr>
          <w:color w:val="6E6158"/>
        </w:rPr>
        <w:t>including</w:t>
      </w:r>
      <w:r>
        <w:rPr>
          <w:color w:val="6E6158"/>
          <w:spacing w:val="13"/>
        </w:rPr>
        <w:t> </w:t>
      </w:r>
      <w:r>
        <w:rPr>
          <w:color w:val="6E6158"/>
        </w:rPr>
        <w:t>student</w:t>
      </w:r>
      <w:r>
        <w:rPr>
          <w:color w:val="6E6158"/>
          <w:spacing w:val="13"/>
        </w:rPr>
        <w:t> </w:t>
      </w:r>
      <w:r>
        <w:rPr>
          <w:color w:val="6E6158"/>
          <w:spacing w:val="-5"/>
        </w:rPr>
        <w:t>and</w:t>
      </w:r>
    </w:p>
    <w:p>
      <w:pPr>
        <w:pStyle w:val="BodyText"/>
        <w:spacing w:line="292" w:lineRule="auto" w:before="52"/>
        <w:ind w:left="99"/>
      </w:pPr>
      <w:r>
        <w:rPr>
          <w:color w:val="6E6158"/>
        </w:rPr>
        <w:t>employment law matters involving discrimination and retaliation complaints, sexual </w:t>
      </w:r>
      <w:r>
        <w:rPr>
          <w:color w:val="6E6158"/>
        </w:rPr>
        <w:t>misconduct</w:t>
      </w:r>
      <w:r>
        <w:rPr>
          <w:color w:val="6E6158"/>
          <w:spacing w:val="40"/>
        </w:rPr>
        <w:t> </w:t>
      </w:r>
      <w:r>
        <w:rPr>
          <w:color w:val="6E6158"/>
        </w:rPr>
        <w:t>investigations,</w:t>
      </w:r>
      <w:r>
        <w:rPr>
          <w:color w:val="6E6158"/>
          <w:spacing w:val="40"/>
        </w:rPr>
        <w:t> </w:t>
      </w:r>
      <w:r>
        <w:rPr>
          <w:color w:val="6E6158"/>
        </w:rPr>
        <w:t>policy</w:t>
      </w:r>
      <w:r>
        <w:rPr>
          <w:color w:val="6E6158"/>
          <w:spacing w:val="40"/>
        </w:rPr>
        <w:t> </w:t>
      </w:r>
      <w:r>
        <w:rPr>
          <w:color w:val="6E6158"/>
        </w:rPr>
        <w:t>development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implementation,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compliance</w:t>
      </w:r>
      <w:r>
        <w:rPr>
          <w:color w:val="6E6158"/>
          <w:spacing w:val="40"/>
        </w:rPr>
        <w:t> </w:t>
      </w:r>
      <w:r>
        <w:rPr>
          <w:color w:val="6E6158"/>
        </w:rPr>
        <w:t>reviews.</w:t>
      </w:r>
      <w:r>
        <w:rPr>
          <w:color w:val="6E6158"/>
          <w:spacing w:val="40"/>
        </w:rPr>
        <w:t> </w:t>
      </w:r>
      <w:r>
        <w:rPr>
          <w:color w:val="6E6158"/>
        </w:rPr>
        <w:t>She</w:t>
      </w:r>
      <w:r>
        <w:rPr>
          <w:color w:val="6E6158"/>
          <w:spacing w:val="40"/>
        </w:rPr>
        <w:t> </w:t>
      </w:r>
      <w:r>
        <w:rPr>
          <w:color w:val="6E6158"/>
        </w:rPr>
        <w:t>also</w:t>
      </w:r>
    </w:p>
    <w:p>
      <w:pPr>
        <w:pStyle w:val="BodyText"/>
        <w:spacing w:line="292" w:lineRule="auto" w:before="9"/>
        <w:ind w:left="99"/>
      </w:pPr>
      <w:r>
        <w:rPr>
          <w:color w:val="6E6158"/>
        </w:rPr>
        <w:t>advises employers on workplace accessibility, anti-discrimination policies, and diversity </w:t>
      </w:r>
      <w:r>
        <w:rPr>
          <w:color w:val="6E6158"/>
        </w:rPr>
        <w:t>initiatives,</w:t>
      </w:r>
      <w:r>
        <w:rPr>
          <w:color w:val="6E6158"/>
          <w:spacing w:val="40"/>
        </w:rPr>
        <w:t> </w:t>
      </w:r>
      <w:r>
        <w:rPr>
          <w:color w:val="6E6158"/>
        </w:rPr>
        <w:t>ensuring</w:t>
      </w:r>
      <w:r>
        <w:rPr>
          <w:color w:val="6E6158"/>
          <w:spacing w:val="35"/>
        </w:rPr>
        <w:t> </w:t>
      </w:r>
      <w:r>
        <w:rPr>
          <w:color w:val="6E6158"/>
        </w:rPr>
        <w:t>compliance</w:t>
      </w:r>
      <w:r>
        <w:rPr>
          <w:color w:val="6E6158"/>
          <w:spacing w:val="35"/>
        </w:rPr>
        <w:t> </w:t>
      </w:r>
      <w:r>
        <w:rPr>
          <w:color w:val="6E6158"/>
        </w:rPr>
        <w:t>with</w:t>
      </w:r>
      <w:r>
        <w:rPr>
          <w:color w:val="6E6158"/>
          <w:spacing w:val="35"/>
        </w:rPr>
        <w:t> </w:t>
      </w:r>
      <w:r>
        <w:rPr>
          <w:color w:val="6E6158"/>
        </w:rPr>
        <w:t>laws</w:t>
      </w:r>
      <w:r>
        <w:rPr>
          <w:color w:val="6E6158"/>
          <w:spacing w:val="35"/>
        </w:rPr>
        <w:t> </w:t>
      </w:r>
      <w:r>
        <w:rPr>
          <w:color w:val="6E6158"/>
        </w:rPr>
        <w:t>governing</w:t>
      </w:r>
      <w:r>
        <w:rPr>
          <w:color w:val="6E6158"/>
          <w:spacing w:val="35"/>
        </w:rPr>
        <w:t> </w:t>
      </w:r>
      <w:r>
        <w:rPr>
          <w:color w:val="6E6158"/>
        </w:rPr>
        <w:t>fair</w:t>
      </w:r>
      <w:r>
        <w:rPr>
          <w:color w:val="6E6158"/>
          <w:spacing w:val="35"/>
        </w:rPr>
        <w:t> </w:t>
      </w:r>
      <w:r>
        <w:rPr>
          <w:color w:val="6E6158"/>
        </w:rPr>
        <w:t>treatment</w:t>
      </w:r>
      <w:r>
        <w:rPr>
          <w:color w:val="6E6158"/>
          <w:spacing w:val="35"/>
        </w:rPr>
        <w:t> </w:t>
      </w:r>
      <w:r>
        <w:rPr>
          <w:color w:val="6E6158"/>
        </w:rPr>
        <w:t>in</w:t>
      </w:r>
      <w:r>
        <w:rPr>
          <w:color w:val="6E6158"/>
          <w:spacing w:val="35"/>
        </w:rPr>
        <w:t> </w:t>
      </w:r>
      <w:r>
        <w:rPr>
          <w:color w:val="6E6158"/>
        </w:rPr>
        <w:t>hiring,</w:t>
      </w:r>
      <w:r>
        <w:rPr>
          <w:color w:val="6E6158"/>
          <w:spacing w:val="35"/>
        </w:rPr>
        <w:t> </w:t>
      </w:r>
      <w:r>
        <w:rPr>
          <w:color w:val="6E6158"/>
        </w:rPr>
        <w:t>promotion,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workplace</w:t>
      </w:r>
    </w:p>
    <w:p>
      <w:pPr>
        <w:pStyle w:val="BodyText"/>
        <w:spacing w:before="1"/>
        <w:ind w:left="99"/>
      </w:pPr>
      <w:r>
        <w:rPr>
          <w:color w:val="6E6158"/>
          <w:spacing w:val="-2"/>
        </w:rPr>
        <w:t>practices.</w:t>
      </w:r>
    </w:p>
    <w:p>
      <w:pPr>
        <w:pStyle w:val="BodyText"/>
        <w:spacing w:before="14"/>
        <w:ind w:left="0"/>
      </w:pPr>
    </w:p>
    <w:p>
      <w:pPr>
        <w:pStyle w:val="BodyText"/>
        <w:spacing w:line="302" w:lineRule="auto"/>
        <w:ind w:left="99"/>
      </w:pPr>
      <w:r>
        <w:rPr>
          <w:color w:val="6E6158"/>
        </w:rPr>
        <w:t>In</w:t>
      </w:r>
      <w:r>
        <w:rPr>
          <w:color w:val="6E6158"/>
          <w:spacing w:val="34"/>
        </w:rPr>
        <w:t> </w:t>
      </w:r>
      <w:r>
        <w:rPr>
          <w:color w:val="6E6158"/>
        </w:rPr>
        <w:t>addition,</w:t>
      </w:r>
      <w:r>
        <w:rPr>
          <w:color w:val="6E6158"/>
          <w:spacing w:val="34"/>
        </w:rPr>
        <w:t> </w:t>
      </w:r>
      <w:r>
        <w:rPr>
          <w:color w:val="6E6158"/>
        </w:rPr>
        <w:t>Bruna</w:t>
      </w:r>
      <w:r>
        <w:rPr>
          <w:color w:val="6E6158"/>
          <w:spacing w:val="34"/>
        </w:rPr>
        <w:t> </w:t>
      </w:r>
      <w:r>
        <w:rPr>
          <w:color w:val="6E6158"/>
        </w:rPr>
        <w:t>conducts</w:t>
      </w:r>
      <w:r>
        <w:rPr>
          <w:color w:val="6E6158"/>
          <w:spacing w:val="34"/>
        </w:rPr>
        <w:t> </w:t>
      </w:r>
      <w:r>
        <w:rPr>
          <w:color w:val="6E6158"/>
        </w:rPr>
        <w:t>training</w:t>
      </w:r>
      <w:r>
        <w:rPr>
          <w:color w:val="6E6158"/>
          <w:spacing w:val="34"/>
        </w:rPr>
        <w:t> </w:t>
      </w:r>
      <w:r>
        <w:rPr>
          <w:color w:val="6E6158"/>
        </w:rPr>
        <w:t>for</w:t>
      </w:r>
      <w:r>
        <w:rPr>
          <w:color w:val="6E6158"/>
          <w:spacing w:val="34"/>
        </w:rPr>
        <w:t> </w:t>
      </w:r>
      <w:r>
        <w:rPr>
          <w:color w:val="6E6158"/>
        </w:rPr>
        <w:t>executives,</w:t>
      </w:r>
      <w:r>
        <w:rPr>
          <w:color w:val="6E6158"/>
          <w:spacing w:val="34"/>
        </w:rPr>
        <w:t> </w:t>
      </w:r>
      <w:r>
        <w:rPr>
          <w:color w:val="6E6158"/>
        </w:rPr>
        <w:t>managers,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employees</w:t>
      </w:r>
      <w:r>
        <w:rPr>
          <w:color w:val="6E6158"/>
          <w:spacing w:val="34"/>
        </w:rPr>
        <w:t> </w:t>
      </w:r>
      <w:r>
        <w:rPr>
          <w:color w:val="6E6158"/>
        </w:rPr>
        <w:t>on</w:t>
      </w:r>
      <w:r>
        <w:rPr>
          <w:color w:val="6E6158"/>
          <w:spacing w:val="34"/>
        </w:rPr>
        <w:t> </w:t>
      </w:r>
      <w:r>
        <w:rPr>
          <w:color w:val="6E6158"/>
        </w:rPr>
        <w:t>anti-discrimination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accessibility</w:t>
      </w:r>
      <w:r>
        <w:rPr>
          <w:color w:val="6E6158"/>
          <w:spacing w:val="17"/>
        </w:rPr>
        <w:t> </w:t>
      </w:r>
      <w:r>
        <w:rPr>
          <w:color w:val="6E6158"/>
        </w:rPr>
        <w:t>laws,</w:t>
      </w:r>
      <w:r>
        <w:rPr>
          <w:color w:val="6E6158"/>
          <w:spacing w:val="17"/>
        </w:rPr>
        <w:t> </w:t>
      </w:r>
      <w:r>
        <w:rPr>
          <w:color w:val="6E6158"/>
        </w:rPr>
        <w:t>as</w:t>
      </w:r>
      <w:r>
        <w:rPr>
          <w:color w:val="6E6158"/>
          <w:spacing w:val="17"/>
        </w:rPr>
        <w:t> </w:t>
      </w:r>
      <w:r>
        <w:rPr>
          <w:color w:val="6E6158"/>
        </w:rPr>
        <w:t>well</w:t>
      </w:r>
      <w:r>
        <w:rPr>
          <w:color w:val="6E6158"/>
          <w:spacing w:val="17"/>
        </w:rPr>
        <w:t> </w:t>
      </w:r>
      <w:r>
        <w:rPr>
          <w:color w:val="6E6158"/>
        </w:rPr>
        <w:t>as</w:t>
      </w:r>
      <w:r>
        <w:rPr>
          <w:color w:val="6E6158"/>
          <w:spacing w:val="17"/>
        </w:rPr>
        <w:t> </w:t>
      </w:r>
      <w:r>
        <w:rPr>
          <w:color w:val="6E6158"/>
        </w:rPr>
        <w:t>workplace</w:t>
      </w:r>
      <w:r>
        <w:rPr>
          <w:color w:val="6E6158"/>
          <w:spacing w:val="17"/>
        </w:rPr>
        <w:t> </w:t>
      </w:r>
      <w:r>
        <w:rPr>
          <w:color w:val="6E6158"/>
        </w:rPr>
        <w:t>diversity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inclusion</w:t>
      </w:r>
      <w:r>
        <w:rPr>
          <w:color w:val="6E6158"/>
          <w:spacing w:val="17"/>
        </w:rPr>
        <w:t> </w:t>
      </w:r>
      <w:r>
        <w:rPr>
          <w:color w:val="6E6158"/>
        </w:rPr>
        <w:t>strategies.</w:t>
      </w:r>
    </w:p>
    <w:p>
      <w:pPr>
        <w:pStyle w:val="BodyText"/>
        <w:spacing w:before="186"/>
        <w:ind w:left="99"/>
      </w:pPr>
      <w:r>
        <w:rPr>
          <w:color w:val="6E6158"/>
        </w:rPr>
        <w:t>Bruna</w:t>
      </w:r>
      <w:r>
        <w:rPr>
          <w:color w:val="6E6158"/>
          <w:spacing w:val="14"/>
        </w:rPr>
        <w:t> </w:t>
      </w:r>
      <w:r>
        <w:rPr>
          <w:color w:val="6E6158"/>
        </w:rPr>
        <w:t>is</w:t>
      </w:r>
      <w:r>
        <w:rPr>
          <w:color w:val="6E6158"/>
          <w:spacing w:val="14"/>
        </w:rPr>
        <w:t> </w:t>
      </w:r>
      <w:r>
        <w:rPr>
          <w:color w:val="6E6158"/>
        </w:rPr>
        <w:t>skilled</w:t>
      </w:r>
      <w:r>
        <w:rPr>
          <w:color w:val="6E6158"/>
          <w:spacing w:val="15"/>
        </w:rPr>
        <w:t> </w:t>
      </w:r>
      <w:r>
        <w:rPr>
          <w:color w:val="6E6158"/>
        </w:rPr>
        <w:t>in</w:t>
      </w:r>
      <w:r>
        <w:rPr>
          <w:color w:val="6E6158"/>
          <w:spacing w:val="14"/>
        </w:rPr>
        <w:t> </w:t>
      </w:r>
      <w:r>
        <w:rPr>
          <w:color w:val="6E6158"/>
        </w:rPr>
        <w:t>Alternative</w:t>
      </w:r>
      <w:r>
        <w:rPr>
          <w:color w:val="6E6158"/>
          <w:spacing w:val="14"/>
        </w:rPr>
        <w:t> </w:t>
      </w:r>
      <w:r>
        <w:rPr>
          <w:color w:val="6E6158"/>
        </w:rPr>
        <w:t>Dispute</w:t>
      </w:r>
      <w:r>
        <w:rPr>
          <w:color w:val="6E6158"/>
          <w:spacing w:val="15"/>
        </w:rPr>
        <w:t> </w:t>
      </w:r>
      <w:r>
        <w:rPr>
          <w:color w:val="6E6158"/>
        </w:rPr>
        <w:t>Resolution</w:t>
      </w:r>
      <w:r>
        <w:rPr>
          <w:color w:val="6E6158"/>
          <w:spacing w:val="14"/>
        </w:rPr>
        <w:t> </w:t>
      </w:r>
      <w:r>
        <w:rPr>
          <w:color w:val="6E6158"/>
        </w:rPr>
        <w:t>(ADR)</w:t>
      </w:r>
      <w:r>
        <w:rPr>
          <w:color w:val="6E6158"/>
          <w:spacing w:val="14"/>
        </w:rPr>
        <w:t> </w:t>
      </w:r>
      <w:r>
        <w:rPr>
          <w:color w:val="6E6158"/>
        </w:rPr>
        <w:t>methods,</w:t>
      </w:r>
      <w:r>
        <w:rPr>
          <w:color w:val="6E6158"/>
          <w:spacing w:val="15"/>
        </w:rPr>
        <w:t> </w:t>
      </w:r>
      <w:r>
        <w:rPr>
          <w:color w:val="6E6158"/>
        </w:rPr>
        <w:t>including</w:t>
      </w:r>
      <w:r>
        <w:rPr>
          <w:color w:val="6E6158"/>
          <w:spacing w:val="14"/>
        </w:rPr>
        <w:t> </w:t>
      </w:r>
      <w:r>
        <w:rPr>
          <w:color w:val="6E6158"/>
        </w:rPr>
        <w:t>mediation</w:t>
      </w:r>
      <w:r>
        <w:rPr>
          <w:color w:val="6E6158"/>
          <w:spacing w:val="14"/>
        </w:rPr>
        <w:t> </w:t>
      </w:r>
      <w:r>
        <w:rPr>
          <w:color w:val="6E6158"/>
          <w:spacing w:val="-5"/>
        </w:rPr>
        <w:t>and</w:t>
      </w:r>
    </w:p>
    <w:p>
      <w:pPr>
        <w:pStyle w:val="BodyText"/>
        <w:spacing w:line="297" w:lineRule="auto" w:before="52"/>
        <w:ind w:left="99" w:right="384"/>
      </w:pPr>
      <w:r>
        <w:rPr>
          <w:color w:val="6E6158"/>
        </w:rPr>
        <w:t>arbitration, helping clients resolve conflicts efficiently while minimizing costs and </w:t>
      </w:r>
      <w:r>
        <w:rPr>
          <w:color w:val="6E6158"/>
        </w:rPr>
        <w:t>preserving</w:t>
      </w:r>
      <w:r>
        <w:rPr>
          <w:color w:val="6E6158"/>
          <w:spacing w:val="40"/>
        </w:rPr>
        <w:t> </w:t>
      </w:r>
      <w:r>
        <w:rPr>
          <w:color w:val="6E6158"/>
        </w:rPr>
        <w:t>relationships. Her innovative problem-solving approach helps employers and educational</w:t>
      </w:r>
      <w:r>
        <w:rPr>
          <w:color w:val="6E6158"/>
          <w:spacing w:val="40"/>
        </w:rPr>
        <w:t> </w:t>
      </w:r>
      <w:r>
        <w:rPr>
          <w:color w:val="6E6158"/>
        </w:rPr>
        <w:t>institutions create inclusive environments and address areas for improvement.</w:t>
      </w:r>
    </w:p>
    <w:p>
      <w:pPr>
        <w:pStyle w:val="BodyText"/>
        <w:spacing w:line="297" w:lineRule="auto" w:before="191"/>
        <w:ind w:left="99" w:right="384"/>
      </w:pPr>
      <w:r>
        <w:rPr>
          <w:color w:val="6E6158"/>
        </w:rPr>
        <w:t>Previously, Bruna served as Chief Counsel of the Civil Rights and Conflict Resolution Section for</w:t>
      </w:r>
      <w:r>
        <w:rPr>
          <w:color w:val="6E6158"/>
          <w:spacing w:val="80"/>
        </w:rPr>
        <w:t> </w:t>
      </w:r>
      <w:r>
        <w:rPr>
          <w:color w:val="6E6158"/>
        </w:rPr>
        <w:t>the Arizona Attorney General’s Office and was a Visiting Professor at the Sandra Day O’Connor</w:t>
      </w:r>
      <w:r>
        <w:rPr>
          <w:color w:val="6E6158"/>
          <w:spacing w:val="40"/>
        </w:rPr>
        <w:t> </w:t>
      </w:r>
      <w:r>
        <w:rPr>
          <w:color w:val="6E6158"/>
        </w:rPr>
        <w:t>College of Law.</w:t>
      </w:r>
    </w:p>
    <w:p>
      <w:pPr>
        <w:pStyle w:val="Heading1"/>
        <w:spacing w:before="158"/>
      </w:pPr>
      <w:r>
        <w:rPr>
          <w:color w:val="FF8100"/>
          <w:spacing w:val="-2"/>
        </w:rPr>
        <w:t>EDUCATION</w:t>
      </w:r>
    </w:p>
    <w:p>
      <w:pPr>
        <w:pStyle w:val="BodyText"/>
        <w:spacing w:before="1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157653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13675pt;width:1.65pt;height:1.65pt;mso-position-horizontal-relative:page;mso-position-vertical-relative:paragraph;z-index:15729152" id="docshape11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</w:t>
      </w:r>
      <w:r>
        <w:rPr>
          <w:color w:val="6E6158"/>
          <w:spacing w:val="11"/>
        </w:rPr>
        <w:t> </w:t>
      </w:r>
      <w:r>
        <w:rPr>
          <w:color w:val="6E6158"/>
        </w:rPr>
        <w:t>University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Minnesota</w:t>
      </w:r>
      <w:r>
        <w:rPr>
          <w:color w:val="6E6158"/>
          <w:spacing w:val="12"/>
        </w:rPr>
        <w:t> </w:t>
      </w:r>
      <w:r>
        <w:rPr>
          <w:color w:val="6E6158"/>
        </w:rPr>
        <w:t>Law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School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175383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9737pt;width:1.65pt;height:1.65pt;mso-position-horizontal-relative:page;mso-position-vertical-relative:paragraph;z-index:15729664" id="docshape12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M.A.</w:t>
      </w:r>
      <w:r>
        <w:rPr>
          <w:color w:val="6E6158"/>
          <w:spacing w:val="12"/>
        </w:rPr>
        <w:t> </w:t>
      </w:r>
      <w:r>
        <w:rPr>
          <w:color w:val="6E6158"/>
        </w:rPr>
        <w:t>University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California,</w:t>
      </w:r>
      <w:r>
        <w:rPr>
          <w:color w:val="6E6158"/>
          <w:spacing w:val="12"/>
        </w:rPr>
        <w:t> </w:t>
      </w:r>
      <w:r>
        <w:rPr>
          <w:color w:val="6E6158"/>
        </w:rPr>
        <w:t>Los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Angeles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175333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5776pt;width:1.65pt;height:1.65pt;mso-position-horizontal-relative:page;mso-position-vertical-relative:paragraph;z-index:15730176" id="docshape13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B.A.</w:t>
      </w:r>
      <w:r>
        <w:rPr>
          <w:color w:val="6E6158"/>
          <w:spacing w:val="10"/>
        </w:rPr>
        <w:t> </w:t>
      </w:r>
      <w:r>
        <w:rPr>
          <w:color w:val="6E6158"/>
        </w:rPr>
        <w:t>University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Iowa</w:t>
      </w:r>
    </w:p>
    <w:p>
      <w:pPr>
        <w:spacing w:before="172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175283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1813pt;width:1.65pt;height:1.65pt;mso-position-horizontal-relative:page;mso-position-vertical-relative:paragraph;z-index:15730688" id="docshape14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Associate</w:t>
      </w:r>
      <w:r>
        <w:rPr>
          <w:color w:val="6E6158"/>
          <w:spacing w:val="-9"/>
          <w:sz w:val="19"/>
        </w:rPr>
        <w:t> </w:t>
      </w:r>
      <w:r>
        <w:rPr>
          <w:color w:val="6E6158"/>
          <w:sz w:val="19"/>
        </w:rPr>
        <w:t>Editor,</w:t>
      </w:r>
      <w:r>
        <w:rPr>
          <w:color w:val="6E6158"/>
          <w:spacing w:val="-8"/>
          <w:sz w:val="19"/>
        </w:rPr>
        <w:t> </w:t>
      </w:r>
      <w:r>
        <w:rPr>
          <w:i/>
          <w:color w:val="6E6158"/>
          <w:sz w:val="20"/>
        </w:rPr>
        <w:t>Minnesota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Law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Review,</w:t>
      </w:r>
      <w:r>
        <w:rPr>
          <w:i/>
          <w:color w:val="6E6158"/>
          <w:spacing w:val="-11"/>
          <w:sz w:val="20"/>
        </w:rPr>
        <w:t> </w:t>
      </w:r>
      <w:r>
        <w:rPr>
          <w:color w:val="6E6158"/>
          <w:sz w:val="19"/>
        </w:rPr>
        <w:t>1984-</w:t>
      </w:r>
      <w:r>
        <w:rPr>
          <w:color w:val="6E6158"/>
          <w:spacing w:val="-4"/>
          <w:sz w:val="19"/>
        </w:rPr>
        <w:t>1987</w:t>
      </w:r>
    </w:p>
    <w:p>
      <w:pPr>
        <w:pStyle w:val="BodyText"/>
        <w:spacing w:before="39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420" w:lineRule="auto" w:before="83"/>
        <w:ind w:right="668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31712" id="docshape15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375967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9.603758pt;width:1.65pt;height:1.65pt;mso-position-horizontal-relative:page;mso-position-vertical-relative:paragraph;z-index:15732224" id="docshape16" coordorigin="1670,592" coordsize="33,33" path="m1691,625l1682,625,1678,623,1671,617,1670,613,1670,604,1671,600,1678,594,1682,592,1691,592,1694,594,1701,600,1702,604,1702,608,1702,613,1701,617,1694,623,1691,6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Employment &amp; </w:t>
      </w:r>
      <w:r>
        <w:rPr>
          <w:color w:val="6E6158"/>
        </w:rPr>
        <w:t>Labor Real Estate</w:t>
      </w:r>
    </w:p>
    <w:p>
      <w:pPr>
        <w:pStyle w:val="BodyText"/>
        <w:spacing w:before="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63888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30587pt;width:1.65pt;height:1.65pt;mso-position-horizontal-relative:page;mso-position-vertical-relative:paragraph;z-index:15732736" id="docshape17" coordorigin="1670,101" coordsize="33,33" path="m1691,133l1682,133,1678,132,1671,125,1670,121,1670,112,1671,109,1678,102,1682,101,1691,101,1694,102,1701,109,1702,112,1702,117,1702,121,1701,125,1694,132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ADA</w:t>
      </w:r>
      <w:r>
        <w:rPr>
          <w:color w:val="6E6158"/>
          <w:spacing w:val="8"/>
        </w:rPr>
        <w:t> </w:t>
      </w:r>
      <w:r>
        <w:rPr>
          <w:color w:val="6E6158"/>
        </w:rPr>
        <w:t>and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Accessibility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13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168023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230195pt;width:1.65pt;height:1.65pt;mso-position-horizontal-relative:page;mso-position-vertical-relative:paragraph;z-index:15733248" id="docshape18" coordorigin="1670,265" coordsize="33,33" path="m1691,297l1682,297,1678,296,1671,289,1670,285,1670,276,1671,273,1678,266,1682,265,1691,265,1694,266,1701,273,1702,276,1702,281,1702,285,1701,289,1694,296,1691,29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AV</w:t>
      </w:r>
      <w:r>
        <w:rPr>
          <w:color w:val="6E6158"/>
          <w:position w:val="7"/>
          <w:sz w:val="16"/>
        </w:rPr>
        <w:t>®</w:t>
      </w:r>
      <w:r>
        <w:rPr>
          <w:color w:val="6E6158"/>
          <w:spacing w:val="20"/>
          <w:position w:val="7"/>
          <w:sz w:val="16"/>
        </w:rPr>
        <w:t> </w:t>
      </w:r>
      <w:r>
        <w:rPr>
          <w:color w:val="6E6158"/>
        </w:rPr>
        <w:t>Preeminent™</w:t>
      </w:r>
      <w:r>
        <w:rPr>
          <w:color w:val="6E6158"/>
          <w:spacing w:val="13"/>
        </w:rPr>
        <w:t> </w:t>
      </w:r>
      <w:r>
        <w:rPr>
          <w:color w:val="6E6158"/>
        </w:rPr>
        <w:t>Peer</w:t>
      </w:r>
      <w:r>
        <w:rPr>
          <w:color w:val="6E6158"/>
          <w:spacing w:val="12"/>
        </w:rPr>
        <w:t> </w:t>
      </w:r>
      <w:r>
        <w:rPr>
          <w:color w:val="6E6158"/>
        </w:rPr>
        <w:t>Review</w:t>
      </w:r>
      <w:r>
        <w:rPr>
          <w:color w:val="6E6158"/>
          <w:spacing w:val="13"/>
        </w:rPr>
        <w:t> </w:t>
      </w:r>
      <w:r>
        <w:rPr>
          <w:color w:val="6E6158"/>
        </w:rPr>
        <w:t>Rated</w:t>
      </w:r>
      <w:r>
        <w:rPr>
          <w:color w:val="6E6158"/>
          <w:spacing w:val="13"/>
        </w:rPr>
        <w:t> </w:t>
      </w:r>
      <w:r>
        <w:rPr>
          <w:color w:val="6E6158"/>
        </w:rPr>
        <w:t>(the</w:t>
      </w:r>
      <w:r>
        <w:rPr>
          <w:color w:val="6E6158"/>
          <w:spacing w:val="12"/>
        </w:rPr>
        <w:t> </w:t>
      </w:r>
      <w:r>
        <w:rPr>
          <w:color w:val="6E6158"/>
        </w:rPr>
        <w:t>highest</w:t>
      </w:r>
      <w:r>
        <w:rPr>
          <w:color w:val="6E6158"/>
          <w:spacing w:val="13"/>
        </w:rPr>
        <w:t> </w:t>
      </w:r>
      <w:r>
        <w:rPr>
          <w:color w:val="6E6158"/>
        </w:rPr>
        <w:t>rating</w:t>
      </w:r>
      <w:r>
        <w:rPr>
          <w:color w:val="6E6158"/>
          <w:spacing w:val="13"/>
        </w:rPr>
        <w:t> </w:t>
      </w:r>
      <w:r>
        <w:rPr>
          <w:color w:val="6E6158"/>
        </w:rPr>
        <w:t>available),</w:t>
      </w:r>
      <w:r>
        <w:rPr>
          <w:color w:val="6E6158"/>
          <w:spacing w:val="12"/>
        </w:rPr>
        <w:t> </w:t>
      </w:r>
      <w:r>
        <w:rPr>
          <w:color w:val="6E6158"/>
        </w:rPr>
        <w:t>by</w:t>
      </w:r>
      <w:r>
        <w:rPr>
          <w:color w:val="6E6158"/>
          <w:spacing w:val="13"/>
        </w:rPr>
        <w:t> </w:t>
      </w:r>
      <w:r>
        <w:rPr>
          <w:color w:val="6E6158"/>
        </w:rPr>
        <w:t>Martindale-</w:t>
      </w:r>
      <w:r>
        <w:rPr>
          <w:color w:val="6E6158"/>
          <w:spacing w:val="-2"/>
        </w:rPr>
        <w:t>Hubbell</w:t>
      </w:r>
    </w:p>
    <w:p>
      <w:pPr>
        <w:spacing w:before="167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185579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4.612558pt;width:1.65pt;height:1.65pt;mso-position-horizontal-relative:page;mso-position-vertical-relative:paragraph;z-index:15733760" id="docshape19" coordorigin="1670,292" coordsize="33,33" path="m1691,325l1682,325,1678,323,1671,317,1670,313,1670,304,1671,300,1678,294,1682,292,1691,292,1694,294,1701,300,1702,304,1702,309,1702,313,1701,317,1694,323,1691,3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5"/>
          <w:sz w:val="20"/>
        </w:rPr>
        <w:t> </w:t>
      </w:r>
      <w:r>
        <w:rPr>
          <w:color w:val="6E6158"/>
          <w:sz w:val="19"/>
        </w:rPr>
        <w:t>Labor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Law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–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Management,</w:t>
      </w:r>
      <w:r>
        <w:rPr>
          <w:color w:val="6E6158"/>
          <w:spacing w:val="-1"/>
          <w:sz w:val="19"/>
        </w:rPr>
        <w:t> </w:t>
      </w:r>
      <w:r>
        <w:rPr>
          <w:color w:val="6E6158"/>
          <w:spacing w:val="-4"/>
          <w:sz w:val="19"/>
        </w:rPr>
        <w:t>2025</w:t>
      </w:r>
    </w:p>
    <w:p>
      <w:pPr>
        <w:pStyle w:val="BodyText"/>
        <w:spacing w:before="38"/>
        <w:ind w:left="0"/>
        <w:rPr>
          <w:sz w:val="24"/>
        </w:rPr>
      </w:pPr>
    </w:p>
    <w:p>
      <w:pPr>
        <w:pStyle w:val="Heading1"/>
        <w:spacing w:before="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92" w:lineRule="auto" w:before="154"/>
        <w:ind w:right="137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250542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727751pt;width:1.65pt;height:1.65pt;mso-position-horizontal-relative:page;mso-position-vertical-relative:paragraph;z-index:15734272" id="docshape20" coordorigin="1670,395" coordsize="33,33" path="m1691,427l1682,427,1678,426,1671,419,1670,415,1670,406,1671,402,1678,396,1682,395,1691,395,1694,396,1701,402,1702,406,1702,411,1702,415,1701,419,1694,426,1691,4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1">
        <w:r>
          <w:rPr>
            <w:color w:val="F5821F"/>
          </w:rPr>
          <w:t>Update: U.S. Department of Education Final TITLE IX Regulations Effective August 1</w:t>
        </w:r>
      </w:hyperlink>
      <w:r>
        <w:rPr>
          <w:color w:val="F5821F"/>
        </w:rPr>
        <w:t> </w:t>
      </w:r>
      <w:hyperlink r:id="rId11">
        <w:r>
          <w:rPr>
            <w:color w:val="F5821F"/>
          </w:rPr>
          <w:t>Increase</w:t>
        </w:r>
        <w:r>
          <w:rPr>
            <w:color w:val="F5821F"/>
            <w:spacing w:val="40"/>
          </w:rPr>
          <w:t> </w:t>
        </w:r>
        <w:r>
          <w:rPr>
            <w:color w:val="F5821F"/>
          </w:rPr>
          <w:t>Scope</w:t>
        </w:r>
        <w:r>
          <w:rPr>
            <w:color w:val="F5821F"/>
            <w:spacing w:val="40"/>
          </w:rPr>
          <w:t> </w:t>
        </w:r>
        <w:r>
          <w:rPr>
            <w:color w:val="F5821F"/>
          </w:rPr>
          <w:t>Against</w:t>
        </w:r>
        <w:r>
          <w:rPr>
            <w:color w:val="F5821F"/>
            <w:spacing w:val="40"/>
          </w:rPr>
          <w:t> </w:t>
        </w:r>
        <w:r>
          <w:rPr>
            <w:color w:val="F5821F"/>
          </w:rPr>
          <w:t>Sex</w:t>
        </w:r>
        <w:r>
          <w:rPr>
            <w:color w:val="F5821F"/>
            <w:spacing w:val="40"/>
          </w:rPr>
          <w:t> </w:t>
        </w:r>
        <w:r>
          <w:rPr>
            <w:color w:val="F5821F"/>
          </w:rPr>
          <w:t>Discrimination</w:t>
        </w:r>
      </w:hyperlink>
      <w:r>
        <w:rPr>
          <w:color w:val="6E6158"/>
        </w:rPr>
        <w:t>,”</w:t>
      </w:r>
      <w:r>
        <w:rPr>
          <w:color w:val="6E6158"/>
          <w:spacing w:val="40"/>
        </w:rPr>
        <w:t> </w:t>
      </w:r>
      <w:r>
        <w:rPr>
          <w:color w:val="6E6158"/>
        </w:rPr>
        <w:t>Fennemore</w:t>
      </w:r>
      <w:r>
        <w:rPr>
          <w:color w:val="6E6158"/>
          <w:spacing w:val="40"/>
        </w:rPr>
        <w:t> </w:t>
      </w:r>
      <w:r>
        <w:rPr>
          <w:color w:val="6E6158"/>
        </w:rPr>
        <w:t>Blog,</w:t>
      </w:r>
      <w:r>
        <w:rPr>
          <w:color w:val="6E6158"/>
          <w:spacing w:val="40"/>
        </w:rPr>
        <w:t> </w:t>
      </w:r>
      <w:r>
        <w:rPr>
          <w:color w:val="6E6158"/>
        </w:rPr>
        <w:t>September</w:t>
      </w:r>
      <w:r>
        <w:rPr>
          <w:color w:val="6E6158"/>
          <w:spacing w:val="40"/>
        </w:rPr>
        <w:t> </w:t>
      </w:r>
      <w:r>
        <w:rPr>
          <w:color w:val="6E6158"/>
        </w:rPr>
        <w:t>11,</w:t>
      </w:r>
      <w:r>
        <w:rPr>
          <w:color w:val="6E6158"/>
          <w:spacing w:val="40"/>
        </w:rPr>
        <w:t> </w:t>
      </w:r>
      <w:r>
        <w:rPr>
          <w:color w:val="6E6158"/>
        </w:rPr>
        <w:t>2024</w:t>
      </w:r>
    </w:p>
    <w:p>
      <w:pPr>
        <w:pStyle w:val="BodyText"/>
        <w:spacing w:line="297" w:lineRule="auto" w:before="124"/>
        <w:ind w:right="126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324046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515444pt;width:1.65pt;height:1.65pt;mso-position-horizontal-relative:page;mso-position-vertical-relative:paragraph;z-index:15734784" id="docshape21" coordorigin="1670,510" coordsize="33,33" path="m1691,543l1682,543,1678,541,1671,535,1670,531,1670,522,1671,518,1678,512,1682,510,1691,510,1694,512,1701,518,1702,522,1702,527,1702,531,1701,535,1694,541,1691,5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763268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60.099846pt;width:1.65pt;height:1.65pt;mso-position-horizontal-relative:page;mso-position-vertical-relative:paragraph;z-index:15735296" id="docshape22" coordorigin="1670,1202" coordsize="33,33" path="m1691,1235l1682,1235,1678,1233,1671,1227,1670,1223,1670,1214,1671,1210,1678,1204,1682,1202,1691,1202,1694,1204,1701,1210,1702,1214,1702,1218,1702,1223,1701,1227,1694,1233,1691,123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2">
        <w:r>
          <w:rPr>
            <w:color w:val="F5821F"/>
          </w:rPr>
          <w:t>Update: U.S. Department of Education Final TITLE IX Regulations Effective August 1</w:t>
        </w:r>
      </w:hyperlink>
      <w:r>
        <w:rPr>
          <w:color w:val="F5821F"/>
        </w:rPr>
        <w:t> </w:t>
      </w:r>
      <w:hyperlink r:id="rId12">
        <w:r>
          <w:rPr>
            <w:color w:val="F5821F"/>
          </w:rPr>
          <w:t>Increase Scope Against Sex Discrimination, Key Facts About TITLE IX Training</w:t>
        </w:r>
      </w:hyperlink>
      <w:r>
        <w:rPr>
          <w:color w:val="6E6158"/>
        </w:rPr>
        <w:t>,” Fennemore </w:t>
      </w:r>
      <w:r>
        <w:rPr>
          <w:color w:val="6E6158"/>
        </w:rPr>
        <w:t>Blog, September 11, 2024</w:t>
      </w:r>
    </w:p>
    <w:p>
      <w:pPr>
        <w:pStyle w:val="BodyText"/>
        <w:ind w:left="0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1060346</wp:posOffset>
                </wp:positionH>
                <wp:positionV relativeFrom="paragraph">
                  <wp:posOffset>46399</wp:posOffset>
                </wp:positionV>
                <wp:extent cx="20955" cy="20955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.653479pt;width:1.65pt;height:1.65pt;mso-position-horizontal-relative:page;mso-position-vertical-relative:paragraph;z-index:-15726080;mso-wrap-distance-left:0;mso-wrap-distance-right:0" id="docshape23" coordorigin="1670,73" coordsize="33,33" path="m1691,106l1682,106,1678,104,1671,98,1670,94,1670,85,1671,81,1678,75,1682,73,1691,73,1694,75,1701,81,1702,85,1702,89,1702,94,1701,98,1694,104,1691,106xe" filled="true" fillcolor="#090909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jc w:val="both"/>
      </w:pPr>
      <w:hyperlink r:id="rId13">
        <w:r>
          <w:rPr>
            <w:color w:val="F5821F"/>
          </w:rPr>
          <w:t>Featuring,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“Thursday</w:t>
        </w:r>
        <w:r>
          <w:rPr>
            <w:color w:val="F5821F"/>
            <w:spacing w:val="16"/>
          </w:rPr>
          <w:t> </w:t>
        </w:r>
        <w:r>
          <w:rPr>
            <w:color w:val="F5821F"/>
          </w:rPr>
          <w:t>Thoughts,”</w:t>
        </w:r>
        <w:r>
          <w:rPr>
            <w:color w:val="F5821F"/>
            <w:spacing w:val="16"/>
          </w:rPr>
          <w:t> </w:t>
        </w:r>
        <w:r>
          <w:rPr>
            <w:color w:val="F5821F"/>
          </w:rPr>
          <w:t>Fennemore</w:t>
        </w:r>
        <w:r>
          <w:rPr>
            <w:color w:val="F5821F"/>
            <w:spacing w:val="16"/>
          </w:rPr>
          <w:t> </w:t>
        </w:r>
        <w:r>
          <w:rPr>
            <w:color w:val="F5821F"/>
          </w:rPr>
          <w:t>Blog,</w:t>
        </w:r>
        <w:r>
          <w:rPr>
            <w:color w:val="F5821F"/>
            <w:spacing w:val="16"/>
          </w:rPr>
          <w:t> </w:t>
        </w:r>
        <w:r>
          <w:rPr>
            <w:color w:val="F5821F"/>
          </w:rPr>
          <w:t>October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5,</w:t>
        </w:r>
        <w:r>
          <w:rPr>
            <w:color w:val="F5821F"/>
            <w:spacing w:val="16"/>
          </w:rPr>
          <w:t> </w:t>
        </w:r>
        <w:r>
          <w:rPr>
            <w:color w:val="F5821F"/>
            <w:spacing w:val="-4"/>
          </w:rPr>
          <w:t>2023</w:t>
        </w:r>
      </w:hyperlink>
    </w:p>
    <w:p>
      <w:pPr>
        <w:pStyle w:val="BodyText"/>
        <w:spacing w:line="292" w:lineRule="auto" w:before="174"/>
        <w:ind w:right="3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263006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092pt;width:1.65pt;height:1.65pt;mso-position-horizontal-relative:page;mso-position-vertical-relative:paragraph;z-index:15735808" id="docshape24" coordorigin="1670,414" coordsize="33,33" path="m1691,447l1682,447,1678,445,1671,439,1670,435,1670,426,1671,422,1678,416,1682,414,1691,414,1694,416,1701,422,1702,426,1702,430,1702,435,1701,439,1694,445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“Businesses using AI in hiring could be on the hook for discrimination as EEOC cracks down,” inBusiness, October 1, 2023</w:t>
      </w:r>
    </w:p>
    <w:p>
      <w:pPr>
        <w:pStyle w:val="BodyText"/>
        <w:spacing w:line="292" w:lineRule="auto" w:before="131"/>
        <w:ind w:right="26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235965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9988pt;width:1.65pt;height:1.65pt;mso-position-horizontal-relative:page;mso-position-vertical-relative:paragraph;z-index:15736320" id="docshape25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Featuring, “9th U.S. Circuit ruling: AZ students can be disciplined for certain off-campus, social</w:t>
      </w:r>
      <w:r>
        <w:rPr>
          <w:color w:val="6E6158"/>
          <w:spacing w:val="40"/>
        </w:rPr>
        <w:t> </w:t>
      </w:r>
      <w:r>
        <w:rPr>
          <w:color w:val="6E6158"/>
        </w:rPr>
        <w:t>media posts,” Arizona Capitol Times, KJZZ and AZ Central, January 13, 2023</w:t>
      </w:r>
    </w:p>
    <w:p>
      <w:pPr>
        <w:pStyle w:val="BodyText"/>
        <w:spacing w:line="292" w:lineRule="auto" w:before="124"/>
        <w:ind w:right="3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231063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93991pt;width:1.65pt;height:1.65pt;mso-position-horizontal-relative:page;mso-position-vertical-relative:paragraph;z-index:15736832" id="docshape26" coordorigin="1670,364" coordsize="33,33" path="m1691,396l1682,396,1678,395,1671,388,1670,385,1670,376,1671,372,1678,365,1682,364,1691,364,1694,365,1701,372,1702,376,1702,380,1702,385,1701,388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“Self-Checkouts Often Inaccessible to Disabled Shoppers,” The Food </w:t>
      </w:r>
      <w:r>
        <w:rPr>
          <w:color w:val="6E6158"/>
        </w:rPr>
        <w:t>Institute, December 14, 2022</w:t>
      </w:r>
    </w:p>
    <w:p>
      <w:pPr>
        <w:pStyle w:val="BodyText"/>
        <w:spacing w:line="288" w:lineRule="auto" w:before="121"/>
        <w:ind w:right="3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235773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4827pt;width:1.65pt;height:1.65pt;mso-position-horizontal-relative:page;mso-position-vertical-relative:paragraph;z-index:15737344" id="docshape27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“Are Coronavirus Mask Exemption Cards Real? Experts Weigh In,” </w:t>
      </w:r>
      <w:r>
        <w:rPr>
          <w:i/>
          <w:color w:val="6E6158"/>
          <w:sz w:val="20"/>
        </w:rPr>
        <w:t>Best Life, </w:t>
      </w:r>
      <w:r>
        <w:rPr>
          <w:color w:val="6E6158"/>
        </w:rPr>
        <w:t>June 25, </w:t>
      </w:r>
      <w:r>
        <w:rPr>
          <w:color w:val="6E6158"/>
          <w:spacing w:val="-4"/>
        </w:rPr>
        <w:t>2020</w:t>
      </w:r>
    </w:p>
    <w:p>
      <w:pPr>
        <w:pStyle w:val="BodyText"/>
        <w:spacing w:line="302" w:lineRule="auto" w:before="128"/>
        <w:ind w:right="10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238962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815969pt;width:1.65pt;height:1.65pt;mso-position-horizontal-relative:page;mso-position-vertical-relative:paragraph;z-index:15737856" id="docshape28" coordorigin="1670,376" coordsize="33,33" path="m1691,409l1682,409,1678,407,1671,401,1670,397,1670,388,1671,384,1678,378,1682,376,1691,376,1694,378,1701,384,1702,388,1702,393,1702,397,1701,401,1694,407,1691,4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4">
        <w:r>
          <w:rPr>
            <w:color w:val="FF8100"/>
          </w:rPr>
          <w:t>Co-author, “COVID-19: Health Plan Coverage For Furloughed Employees,” Fennemore </w:t>
        </w:r>
        <w:r>
          <w:rPr>
            <w:color w:val="FF8100"/>
          </w:rPr>
          <w:t>Client</w:t>
        </w:r>
      </w:hyperlink>
      <w:r>
        <w:rPr>
          <w:color w:val="FF8100"/>
        </w:rPr>
        <w:t> </w:t>
      </w:r>
      <w:hyperlink r:id="rId14">
        <w:r>
          <w:rPr>
            <w:color w:val="FF8100"/>
          </w:rPr>
          <w:t>Alert, March 26, 2020</w:t>
        </w:r>
      </w:hyperlink>
    </w:p>
    <w:p>
      <w:pPr>
        <w:pStyle w:val="BodyText"/>
        <w:spacing w:line="292" w:lineRule="auto" w:before="113"/>
        <w:ind w:right="3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317142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4.97183pt;width:1.65pt;height:1.65pt;mso-position-horizontal-relative:page;mso-position-vertical-relative:paragraph;z-index:15738368" id="docshape29" coordorigin="1670,499" coordsize="33,33" path="m1691,532l1682,532,1678,530,1671,524,1670,520,1670,511,1671,507,1678,501,1682,499,1691,499,1694,501,1701,507,1702,511,1702,516,1702,520,1701,524,1694,530,1691,5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5">
        <w:r>
          <w:rPr>
            <w:color w:val="FF8100"/>
          </w:rPr>
          <w:t>Co-author, “Understanding the Emergency Family Medical Leave Expansion Act and</w:t>
        </w:r>
      </w:hyperlink>
      <w:r>
        <w:rPr>
          <w:color w:val="FF8100"/>
        </w:rPr>
        <w:t> </w:t>
      </w:r>
      <w:hyperlink r:id="rId15">
        <w:r>
          <w:rPr>
            <w:color w:val="FF8100"/>
          </w:rPr>
          <w:t>Emergency Paid Sick Leave in the Families First Coronavirus Response Act,” Fennemore </w:t>
        </w:r>
        <w:r>
          <w:rPr>
            <w:color w:val="FF8100"/>
          </w:rPr>
          <w:t>Client</w:t>
        </w:r>
      </w:hyperlink>
      <w:r>
        <w:rPr>
          <w:color w:val="FF8100"/>
          <w:spacing w:val="40"/>
        </w:rPr>
        <w:t> </w:t>
      </w:r>
      <w:hyperlink r:id="rId15">
        <w:r>
          <w:rPr>
            <w:color w:val="FF8100"/>
          </w:rPr>
          <w:t>Alert, March 20, 2020</w:t>
        </w:r>
      </w:hyperlink>
    </w:p>
    <w:p>
      <w:pPr>
        <w:pStyle w:val="BodyText"/>
        <w:spacing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143200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5661pt;width:1.65pt;height:1.65pt;mso-position-horizontal-relative:page;mso-position-vertical-relative:paragraph;z-index:15738880" id="docshape30" coordorigin="1670,226" coordsize="33,33" path="m1691,258l1682,258,1678,256,1671,250,1670,246,1670,237,1671,233,1678,227,1682,226,1691,226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</w:t>
      </w:r>
      <w:r>
        <w:rPr>
          <w:color w:val="6E6158"/>
          <w:spacing w:val="11"/>
        </w:rPr>
        <w:t> </w:t>
      </w:r>
      <w:r>
        <w:rPr>
          <w:color w:val="6E6158"/>
        </w:rPr>
        <w:t>“Implicit</w:t>
      </w:r>
      <w:r>
        <w:rPr>
          <w:color w:val="6E6158"/>
          <w:spacing w:val="12"/>
        </w:rPr>
        <w:t> </w:t>
      </w:r>
      <w:r>
        <w:rPr>
          <w:color w:val="6E6158"/>
        </w:rPr>
        <w:t>Bias</w:t>
      </w:r>
      <w:r>
        <w:rPr>
          <w:color w:val="6E6158"/>
          <w:spacing w:val="12"/>
        </w:rPr>
        <w:t> </w:t>
      </w:r>
      <w:r>
        <w:rPr>
          <w:color w:val="6E6158"/>
        </w:rPr>
        <w:t>Training,”</w:t>
      </w:r>
      <w:r>
        <w:rPr>
          <w:color w:val="6E6158"/>
          <w:spacing w:val="12"/>
        </w:rPr>
        <w:t> </w:t>
      </w:r>
      <w:r>
        <w:rPr>
          <w:color w:val="6E6158"/>
        </w:rPr>
        <w:t>National</w:t>
      </w:r>
      <w:r>
        <w:rPr>
          <w:color w:val="6E6158"/>
          <w:spacing w:val="11"/>
        </w:rPr>
        <w:t> </w:t>
      </w:r>
      <w:r>
        <w:rPr>
          <w:color w:val="6E6158"/>
        </w:rPr>
        <w:t>Association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Charter</w:t>
      </w:r>
      <w:r>
        <w:rPr>
          <w:color w:val="6E6158"/>
          <w:spacing w:val="12"/>
        </w:rPr>
        <w:t> </w:t>
      </w:r>
      <w:r>
        <w:rPr>
          <w:color w:val="6E6158"/>
        </w:rPr>
        <w:t>School</w:t>
      </w:r>
      <w:r>
        <w:rPr>
          <w:color w:val="6E6158"/>
          <w:spacing w:val="11"/>
        </w:rPr>
        <w:t> </w:t>
      </w:r>
      <w:r>
        <w:rPr>
          <w:color w:val="6E6158"/>
        </w:rPr>
        <w:t>Lawyers,</w:t>
      </w:r>
      <w:r>
        <w:rPr>
          <w:color w:val="6E6158"/>
          <w:spacing w:val="12"/>
        </w:rPr>
        <w:t> </w:t>
      </w:r>
      <w:r>
        <w:rPr>
          <w:color w:val="6E6158"/>
        </w:rPr>
        <w:t>April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2019</w:t>
      </w:r>
    </w:p>
    <w:p>
      <w:pPr>
        <w:pStyle w:val="BodyText"/>
        <w:spacing w:line="292" w:lineRule="auto" w:before="174"/>
        <w:ind w:right="3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262832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695442pt;width:1.65pt;height:1.65pt;mso-position-horizontal-relative:page;mso-position-vertical-relative:paragraph;z-index:15739392" id="docshape31" coordorigin="1670,414" coordsize="33,33" path="m1691,446l1682,446,1678,445,1671,439,1670,435,1670,426,1671,422,1678,415,1682,414,1691,414,1694,415,1701,422,1702,426,1702,430,1702,435,1701,439,1694,445,1691,4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“Welcome to ADA Compliance: Serving Your Guests and the Animals That Serve Them,” AAHOA Convention, April 2019</w:t>
      </w:r>
    </w:p>
    <w:p>
      <w:pPr>
        <w:pStyle w:val="BodyText"/>
        <w:spacing w:line="302" w:lineRule="auto" w:before="123"/>
        <w:ind w:right="26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235791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6248pt;width:1.65pt;height:1.65pt;mso-position-horizontal-relative:page;mso-position-vertical-relative:paragraph;z-index:15739904" id="docshape32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“Service Animals: The Who, What, When, Where, Why and How,” Asian </w:t>
      </w:r>
      <w:r>
        <w:rPr>
          <w:color w:val="6E6158"/>
        </w:rPr>
        <w:t>American Hotel Association Webinar, June 26, 2018</w:t>
      </w:r>
    </w:p>
    <w:p>
      <w:pPr>
        <w:pStyle w:val="BodyText"/>
        <w:spacing w:line="292" w:lineRule="auto"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224134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4839pt;width:1.65pt;height:1.65pt;mso-position-horizontal-relative:page;mso-position-vertical-relative:paragraph;z-index:15740416" id="docshape33" coordorigin="1670,353" coordsize="33,33" path="m1691,386l1682,386,1678,384,1671,378,1670,374,1670,365,1671,361,1678,355,1682,353,1691,353,1694,355,1701,361,1702,365,1702,369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“Arizona Americans with Disabilities Act and Fair Housing,” West Valley Realtor’s Association, WeMarr, November 2017</w:t>
      </w:r>
    </w:p>
    <w:p>
      <w:pPr>
        <w:pStyle w:val="BodyText"/>
        <w:spacing w:line="302" w:lineRule="auto"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235830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9317pt;width:1.65pt;height:1.65pt;mso-position-horizontal-relative:page;mso-position-vertical-relative:paragraph;z-index:15740928" id="docshape34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“What Your Business Needs to Know About Changing ADA Compliance </w:t>
      </w:r>
      <w:r>
        <w:rPr>
          <w:color w:val="6E6158"/>
        </w:rPr>
        <w:t>Law,” Fennemore, June 14, 2017</w:t>
      </w:r>
    </w:p>
    <w:p>
      <w:pPr>
        <w:pStyle w:val="BodyText"/>
        <w:spacing w:line="292" w:lineRule="auto" w:before="113"/>
        <w:ind w:right="3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224172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51411pt;width:1.65pt;height:1.65pt;mso-position-horizontal-relative:page;mso-position-vertical-relative:paragraph;z-index:15741440" id="docshape35" coordorigin="1670,353" coordsize="33,33" path="m1691,386l1682,386,1678,384,1671,378,1670,374,1670,365,1671,361,1678,355,1682,353,1691,353,1694,355,1701,361,1702,365,1702,369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“WHO, WHAT, WHERE, WHEN: The Future of ADA Litigation and </w:t>
      </w:r>
      <w:r>
        <w:rPr>
          <w:color w:val="6E6158"/>
        </w:rPr>
        <w:t>Legislation” Fennemore Labor and Employment Seminar, May 4, 2017</w:t>
      </w:r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142855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48497pt;width:1.65pt;height:1.65pt;mso-position-horizontal-relative:page;mso-position-vertical-relative:paragraph;z-index:15741952" id="docshape36" coordorigin="1670,225" coordsize="33,33" path="m1691,258l1682,258,1678,256,1671,250,1670,246,1670,237,1671,233,1678,227,1682,225,1691,225,1694,227,1701,233,1702,237,1702,241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</w:t>
      </w:r>
      <w:r>
        <w:rPr>
          <w:color w:val="6E6158"/>
          <w:spacing w:val="9"/>
        </w:rPr>
        <w:t> </w:t>
      </w:r>
      <w:r>
        <w:rPr>
          <w:color w:val="6E6158"/>
        </w:rPr>
        <w:t>“ADA</w:t>
      </w:r>
      <w:r>
        <w:rPr>
          <w:color w:val="6E6158"/>
          <w:spacing w:val="10"/>
        </w:rPr>
        <w:t> </w:t>
      </w:r>
      <w:r>
        <w:rPr>
          <w:color w:val="6E6158"/>
        </w:rPr>
        <w:t>Compliance,”</w:t>
      </w:r>
      <w:r>
        <w:rPr>
          <w:color w:val="6E6158"/>
          <w:spacing w:val="10"/>
        </w:rPr>
        <w:t> </w:t>
      </w:r>
      <w:r>
        <w:rPr>
          <w:color w:val="6E6158"/>
        </w:rPr>
        <w:t>AZ</w:t>
      </w:r>
      <w:r>
        <w:rPr>
          <w:color w:val="6E6158"/>
          <w:spacing w:val="9"/>
        </w:rPr>
        <w:t> </w:t>
      </w:r>
      <w:r>
        <w:rPr>
          <w:color w:val="6E6158"/>
        </w:rPr>
        <w:t>Bankers</w:t>
      </w:r>
      <w:r>
        <w:rPr>
          <w:color w:val="6E6158"/>
          <w:spacing w:val="10"/>
        </w:rPr>
        <w:t> </w:t>
      </w:r>
      <w:r>
        <w:rPr>
          <w:color w:val="6E6158"/>
        </w:rPr>
        <w:t>Association</w:t>
      </w:r>
      <w:r>
        <w:rPr>
          <w:color w:val="6E6158"/>
          <w:spacing w:val="10"/>
        </w:rPr>
        <w:t> </w:t>
      </w:r>
      <w:r>
        <w:rPr>
          <w:color w:val="6E6158"/>
        </w:rPr>
        <w:t>April</w:t>
      </w:r>
      <w:r>
        <w:rPr>
          <w:color w:val="6E6158"/>
          <w:spacing w:val="10"/>
        </w:rPr>
        <w:t> </w:t>
      </w:r>
      <w:r>
        <w:rPr>
          <w:color w:val="6E6158"/>
        </w:rPr>
        <w:t>Seminar,</w:t>
      </w:r>
      <w:r>
        <w:rPr>
          <w:color w:val="6E6158"/>
          <w:spacing w:val="9"/>
        </w:rPr>
        <w:t> </w:t>
      </w:r>
      <w:r>
        <w:rPr>
          <w:color w:val="6E6158"/>
        </w:rPr>
        <w:t>April</w:t>
      </w:r>
      <w:r>
        <w:rPr>
          <w:color w:val="6E6158"/>
          <w:spacing w:val="10"/>
        </w:rPr>
        <w:t> </w:t>
      </w:r>
      <w:r>
        <w:rPr>
          <w:color w:val="6E6158"/>
        </w:rPr>
        <w:t>18,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2017</w:t>
      </w:r>
    </w:p>
    <w:p>
      <w:pPr>
        <w:pStyle w:val="BodyText"/>
        <w:spacing w:after="0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  <w:ind w:right="10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205446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691pt;width:1.65pt;height:1.65pt;mso-position-horizontal-relative:page;mso-position-vertical-relative:paragraph;z-index:15742464" id="docshape37" coordorigin="1670,324" coordsize="33,33" path="m1691,356l1682,356,1678,354,1671,348,1670,344,1670,335,1671,331,1678,325,1682,324,1691,324,1694,325,1701,331,1702,335,1702,340,1702,344,1701,348,1694,354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Panelist, “ADA Title III Accessibility Litigation – A Panel Discussion,” ADA Title III </w:t>
      </w:r>
      <w:r>
        <w:rPr>
          <w:color w:val="6E6158"/>
        </w:rPr>
        <w:t>Accessibility</w:t>
      </w:r>
      <w:r>
        <w:rPr>
          <w:color w:val="6E6158"/>
          <w:spacing w:val="40"/>
        </w:rPr>
        <w:t> </w:t>
      </w:r>
      <w:r>
        <w:rPr>
          <w:color w:val="6E6158"/>
        </w:rPr>
        <w:t>Litigation Webinar, January 2017</w:t>
      </w:r>
    </w:p>
    <w:p>
      <w:pPr>
        <w:pStyle w:val="BodyText"/>
        <w:spacing w:line="292" w:lineRule="auto" w:before="132"/>
        <w:ind w:right="26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324036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514685pt;width:1.65pt;height:1.65pt;mso-position-horizontal-relative:page;mso-position-vertical-relative:paragraph;z-index:15742976" id="docshape38" coordorigin="1670,510" coordsize="33,33" path="m1691,543l1682,543,1678,541,1671,535,1670,531,1670,522,1671,518,1678,512,1682,510,1691,510,1694,512,1701,518,1702,522,1702,527,1702,531,1701,535,1694,541,1691,5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6">
        <w:r>
          <w:rPr>
            <w:color w:val="FF8100"/>
          </w:rPr>
          <w:t>Author, “Fair Housing and Domestic Violent Alert: Nuisance Laws, Eviction Policies and</w:t>
        </w:r>
      </w:hyperlink>
      <w:r>
        <w:rPr>
          <w:color w:val="FF8100"/>
        </w:rPr>
        <w:t> </w:t>
      </w:r>
      <w:hyperlink r:id="rId16">
        <w:r>
          <w:rPr>
            <w:color w:val="FF8100"/>
          </w:rPr>
          <w:t>Emergency Services Calls Policies May Be Discriminatory,” Fennemore Client Alert, </w:t>
        </w:r>
        <w:r>
          <w:rPr>
            <w:color w:val="FF8100"/>
          </w:rPr>
          <w:t>November</w:t>
        </w:r>
      </w:hyperlink>
      <w:r>
        <w:rPr>
          <w:color w:val="FF8100"/>
          <w:spacing w:val="40"/>
        </w:rPr>
        <w:t> </w:t>
      </w:r>
      <w:hyperlink r:id="rId16">
        <w:r>
          <w:rPr>
            <w:color w:val="FF8100"/>
          </w:rPr>
          <w:t>16, 2016</w:t>
        </w:r>
      </w:hyperlink>
    </w:p>
    <w:p>
      <w:pPr>
        <w:pStyle w:val="BodyText"/>
        <w:spacing w:line="302" w:lineRule="auto"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236207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9009pt;width:1.65pt;height:1.65pt;mso-position-horizontal-relative:page;mso-position-vertical-relative:paragraph;z-index:15743488" id="docshape39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7">
        <w:r>
          <w:rPr>
            <w:color w:val="FF8100"/>
          </w:rPr>
          <w:t>Author, “Fair Housing Issues For Group Homes and State and Local land Use Laws,” Fennemore</w:t>
        </w:r>
      </w:hyperlink>
      <w:r>
        <w:rPr>
          <w:color w:val="FF8100"/>
        </w:rPr>
        <w:t> </w:t>
      </w:r>
      <w:hyperlink r:id="rId17">
        <w:r>
          <w:rPr>
            <w:color w:val="FF8100"/>
          </w:rPr>
          <w:t>Client Alert, November 15, 2016</w:t>
        </w:r>
      </w:hyperlink>
    </w:p>
    <w:p>
      <w:pPr>
        <w:pStyle w:val="BodyText"/>
        <w:spacing w:line="292" w:lineRule="auto" w:before="112"/>
        <w:ind w:right="3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1060346</wp:posOffset>
                </wp:positionH>
                <wp:positionV relativeFrom="paragraph">
                  <wp:posOffset>223916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3121pt;width:1.65pt;height:1.65pt;mso-position-horizontal-relative:page;mso-position-vertical-relative:paragraph;z-index:15744000" id="docshape40" coordorigin="1670,353" coordsize="33,33" path="m1691,385l1682,385,1678,384,1671,377,1670,373,1670,364,1671,361,1678,354,1682,353,1691,353,1694,354,1701,361,1702,364,1702,369,1702,373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8">
        <w:r>
          <w:rPr>
            <w:color w:val="FF8100"/>
          </w:rPr>
          <w:t>Author, “Fight Over the Enforcement of the ADA and AZDA Continues to Heat Up,”</w:t>
        </w:r>
      </w:hyperlink>
      <w:r>
        <w:rPr>
          <w:color w:val="FF8100"/>
        </w:rPr>
        <w:t> </w:t>
      </w:r>
      <w:hyperlink r:id="rId18">
        <w:r>
          <w:rPr>
            <w:color w:val="FF8100"/>
          </w:rPr>
          <w:t>Fennemore Client Alert, October 5, 2016</w:t>
        </w:r>
      </w:hyperlink>
    </w:p>
    <w:p>
      <w:pPr>
        <w:pStyle w:val="BodyText"/>
        <w:spacing w:line="302" w:lineRule="auto" w:before="124"/>
        <w:ind w:right="10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1060346</wp:posOffset>
                </wp:positionH>
                <wp:positionV relativeFrom="paragraph">
                  <wp:posOffset>236246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2085pt;width:1.65pt;height:1.65pt;mso-position-horizontal-relative:page;mso-position-vertical-relative:paragraph;z-index:15744512" id="docshape41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Panelist, “ADA Lawsuits and Their Impact on the CRE Industry,” BOMA Greater Phoenix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NAIOP, October 2016</w:t>
      </w:r>
    </w:p>
    <w:p>
      <w:pPr>
        <w:pStyle w:val="BodyText"/>
        <w:spacing w:before="1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1060346</wp:posOffset>
                </wp:positionH>
                <wp:positionV relativeFrom="paragraph">
                  <wp:posOffset>136109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717296pt;width:1.65pt;height:1.65pt;mso-position-horizontal-relative:page;mso-position-vertical-relative:paragraph;z-index:15745024" id="docshape42" coordorigin="1670,214" coordsize="33,33" path="m1691,247l1682,247,1678,245,1671,239,1670,235,1670,226,1671,222,1678,216,1682,214,1691,214,1694,216,1701,222,1702,226,1702,231,1702,235,1701,239,1694,245,1691,2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</w:t>
      </w:r>
      <w:r>
        <w:rPr>
          <w:color w:val="6E6158"/>
          <w:spacing w:val="10"/>
        </w:rPr>
        <w:t> </w:t>
      </w:r>
      <w:r>
        <w:rPr>
          <w:color w:val="6E6158"/>
        </w:rPr>
        <w:t>“Empower</w:t>
      </w:r>
      <w:r>
        <w:rPr>
          <w:color w:val="6E6158"/>
          <w:spacing w:val="11"/>
        </w:rPr>
        <w:t> </w:t>
      </w:r>
      <w:r>
        <w:rPr>
          <w:color w:val="6E6158"/>
        </w:rPr>
        <w:t>to</w:t>
      </w:r>
      <w:r>
        <w:rPr>
          <w:color w:val="6E6158"/>
          <w:spacing w:val="11"/>
        </w:rPr>
        <w:t> </w:t>
      </w:r>
      <w:r>
        <w:rPr>
          <w:color w:val="6E6158"/>
        </w:rPr>
        <w:t>Evaluate,”</w:t>
      </w:r>
      <w:r>
        <w:rPr>
          <w:color w:val="6E6158"/>
          <w:spacing w:val="11"/>
        </w:rPr>
        <w:t> </w:t>
      </w:r>
      <w:r>
        <w:rPr>
          <w:color w:val="6E6158"/>
        </w:rPr>
        <w:t>ADA</w:t>
      </w:r>
      <w:r>
        <w:rPr>
          <w:color w:val="6E6158"/>
          <w:spacing w:val="11"/>
        </w:rPr>
        <w:t> </w:t>
      </w:r>
      <w:r>
        <w:rPr>
          <w:color w:val="6E6158"/>
        </w:rPr>
        <w:t>Compliance</w:t>
      </w:r>
      <w:r>
        <w:rPr>
          <w:color w:val="6E6158"/>
          <w:spacing w:val="11"/>
        </w:rPr>
        <w:t> </w:t>
      </w:r>
      <w:r>
        <w:rPr>
          <w:color w:val="6E6158"/>
        </w:rPr>
        <w:t>Seminar,</w:t>
      </w:r>
      <w:r>
        <w:rPr>
          <w:color w:val="6E6158"/>
          <w:spacing w:val="11"/>
        </w:rPr>
        <w:t> </w:t>
      </w:r>
      <w:r>
        <w:rPr>
          <w:color w:val="6E6158"/>
        </w:rPr>
        <w:t>September</w:t>
      </w:r>
      <w:r>
        <w:rPr>
          <w:color w:val="6E6158"/>
          <w:spacing w:val="11"/>
        </w:rPr>
        <w:t> </w:t>
      </w:r>
      <w:r>
        <w:rPr>
          <w:color w:val="6E6158"/>
        </w:rPr>
        <w:t>29,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2016</w:t>
      </w:r>
    </w:p>
    <w:p>
      <w:pPr>
        <w:pStyle w:val="Heading1"/>
        <w:spacing w:before="214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line="427" w:lineRule="auto" w:before="146"/>
        <w:ind w:right="549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1060346</wp:posOffset>
                </wp:positionH>
                <wp:positionV relativeFrom="paragraph">
                  <wp:posOffset>157557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06116pt;width:1.65pt;height:1.65pt;mso-position-horizontal-relative:page;mso-position-vertical-relative:paragraph;z-index:15745536" id="docshape43" coordorigin="1670,248" coordsize="33,33" path="m1691,281l1682,281,1678,279,1671,273,1670,269,1670,260,1671,256,1678,250,1682,248,1691,248,1694,250,1701,256,1702,260,1702,264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1060346</wp:posOffset>
                </wp:positionH>
                <wp:positionV relativeFrom="paragraph">
                  <wp:posOffset>415923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49866pt;width:1.65pt;height:1.65pt;mso-position-horizontal-relative:page;mso-position-vertical-relative:paragraph;z-index:15746048" id="docshape44" coordorigin="1670,655" coordsize="33,33" path="m1691,688l1682,688,1678,686,1671,680,1670,676,1670,667,1671,663,1678,657,1682,655,1691,655,1694,657,1701,663,1702,667,1702,671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State Bar of Arizona Member, American Bar </w:t>
      </w:r>
      <w:r>
        <w:rPr>
          <w:color w:val="6E6158"/>
        </w:rPr>
        <w:t>Association</w:t>
      </w:r>
    </w:p>
    <w:p>
      <w:pPr>
        <w:pStyle w:val="BodyText"/>
        <w:spacing w:line="420" w:lineRule="auto"/>
        <w:ind w:right="42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1060346</wp:posOffset>
                </wp:positionH>
                <wp:positionV relativeFrom="paragraph">
                  <wp:posOffset>54962</wp:posOffset>
                </wp:positionV>
                <wp:extent cx="20955" cy="2095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327784pt;width:1.65pt;height:1.65pt;mso-position-horizontal-relative:page;mso-position-vertical-relative:paragraph;z-index:15746560" id="docshape45" coordorigin="1670,87" coordsize="33,33" path="m1691,119l1682,119,1678,118,1671,111,1670,107,1670,98,1671,95,1678,88,1682,87,1691,87,1694,88,1701,95,1702,98,1702,103,1702,107,1701,111,1694,118,1691,1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1060346</wp:posOffset>
                </wp:positionH>
                <wp:positionV relativeFrom="paragraph">
                  <wp:posOffset>318495</wp:posOffset>
                </wp:positionV>
                <wp:extent cx="20955" cy="2095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078409pt;width:1.65pt;height:1.65pt;mso-position-horizontal-relative:page;mso-position-vertical-relative:paragraph;z-index:15747072" id="docshape46" coordorigin="1670,502" coordsize="33,33" path="m1691,534l1682,534,1678,533,1671,526,1670,522,1670,513,1671,510,1678,503,1682,502,1691,502,1694,503,1701,510,1702,513,1702,518,1702,522,1701,526,1694,533,1691,53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1060346</wp:posOffset>
                </wp:positionH>
                <wp:positionV relativeFrom="paragraph">
                  <wp:posOffset>576861</wp:posOffset>
                </wp:positionV>
                <wp:extent cx="20955" cy="2095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5.422157pt;width:1.65pt;height:1.65pt;mso-position-horizontal-relative:page;mso-position-vertical-relative:paragraph;z-index:15747584" id="docshape47" coordorigin="1670,908" coordsize="33,33" path="m1691,941l1682,941,1678,939,1671,933,1670,929,1670,920,1671,916,1678,910,1682,908,1691,908,1694,910,1701,916,1702,920,1702,925,1702,929,1701,933,1694,939,1691,94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Maricopa County Bar Association Member, Association for Conflict Resolution Member, Arizona Dispute Resolution </w:t>
      </w:r>
      <w:r>
        <w:rPr>
          <w:color w:val="6E6158"/>
        </w:rPr>
        <w:t>Association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1060346</wp:posOffset>
                </wp:positionH>
                <wp:positionV relativeFrom="paragraph">
                  <wp:posOffset>58616</wp:posOffset>
                </wp:positionV>
                <wp:extent cx="20955" cy="2095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615456pt;width:1.65pt;height:1.65pt;mso-position-horizontal-relative:page;mso-position-vertical-relative:paragraph;z-index:15748096" id="docshape48" coordorigin="1670,92" coordsize="33,33" path="m1691,125l1682,125,1678,123,1671,117,1670,113,1670,104,1671,100,1678,94,1682,92,1691,92,1694,94,1701,100,1702,104,1702,109,1702,113,1701,117,1694,123,1691,1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15"/>
        </w:rPr>
        <w:t> </w:t>
      </w:r>
      <w:r>
        <w:rPr>
          <w:color w:val="6E6158"/>
        </w:rPr>
        <w:t>Maricopa</w:t>
      </w:r>
      <w:r>
        <w:rPr>
          <w:color w:val="6E6158"/>
          <w:spacing w:val="15"/>
        </w:rPr>
        <w:t> </w:t>
      </w:r>
      <w:r>
        <w:rPr>
          <w:color w:val="6E6158"/>
        </w:rPr>
        <w:t>Alternative</w:t>
      </w:r>
      <w:r>
        <w:rPr>
          <w:color w:val="6E6158"/>
          <w:spacing w:val="15"/>
        </w:rPr>
        <w:t> </w:t>
      </w:r>
      <w:r>
        <w:rPr>
          <w:color w:val="6E6158"/>
        </w:rPr>
        <w:t>Dispute</w:t>
      </w:r>
      <w:r>
        <w:rPr>
          <w:color w:val="6E6158"/>
          <w:spacing w:val="15"/>
        </w:rPr>
        <w:t> </w:t>
      </w:r>
      <w:r>
        <w:rPr>
          <w:color w:val="6E6158"/>
        </w:rPr>
        <w:t>Resolution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line="292" w:lineRule="auto" w:before="1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1060346</wp:posOffset>
                </wp:positionH>
                <wp:positionV relativeFrom="paragraph">
                  <wp:posOffset>262068</wp:posOffset>
                </wp:positionV>
                <wp:extent cx="20955" cy="2095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635309pt;width:1.65pt;height:1.65pt;mso-position-horizontal-relative:page;mso-position-vertical-relative:paragraph;z-index:15748608" id="docshape49" coordorigin="1670,413" coordsize="33,33" path="m1691,445l1682,445,1678,444,1671,437,1670,433,1670,424,1671,421,1678,414,1682,413,1691,413,1694,414,1701,421,1702,424,1702,429,1702,433,1701,437,1694,444,1691,44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Conducted</w:t>
      </w:r>
      <w:r>
        <w:rPr>
          <w:color w:val="6E6158"/>
          <w:spacing w:val="18"/>
        </w:rPr>
        <w:t> </w:t>
      </w:r>
      <w:r>
        <w:rPr>
          <w:color w:val="6E6158"/>
        </w:rPr>
        <w:t>gang</w:t>
      </w:r>
      <w:r>
        <w:rPr>
          <w:color w:val="6E6158"/>
          <w:spacing w:val="18"/>
        </w:rPr>
        <w:t> </w:t>
      </w:r>
      <w:r>
        <w:rPr>
          <w:color w:val="6E6158"/>
        </w:rPr>
        <w:t>mediations</w:t>
      </w:r>
      <w:r>
        <w:rPr>
          <w:color w:val="6E6158"/>
          <w:spacing w:val="18"/>
        </w:rPr>
        <w:t> </w:t>
      </w:r>
      <w:r>
        <w:rPr>
          <w:color w:val="6E6158"/>
        </w:rPr>
        <w:t>and</w:t>
      </w:r>
      <w:r>
        <w:rPr>
          <w:color w:val="6E6158"/>
          <w:spacing w:val="18"/>
        </w:rPr>
        <w:t> </w:t>
      </w:r>
      <w:r>
        <w:rPr>
          <w:color w:val="6E6158"/>
        </w:rPr>
        <w:t>coordinated</w:t>
      </w:r>
      <w:r>
        <w:rPr>
          <w:color w:val="6E6158"/>
          <w:spacing w:val="18"/>
        </w:rPr>
        <w:t> </w:t>
      </w:r>
      <w:r>
        <w:rPr>
          <w:color w:val="6E6158"/>
        </w:rPr>
        <w:t>“Not</w:t>
      </w:r>
      <w:r>
        <w:rPr>
          <w:color w:val="6E6158"/>
          <w:spacing w:val="18"/>
        </w:rPr>
        <w:t> </w:t>
      </w:r>
      <w:r>
        <w:rPr>
          <w:color w:val="6E6158"/>
        </w:rPr>
        <w:t>in</w:t>
      </w:r>
      <w:r>
        <w:rPr>
          <w:color w:val="6E6158"/>
          <w:spacing w:val="18"/>
        </w:rPr>
        <w:t> </w:t>
      </w:r>
      <w:r>
        <w:rPr>
          <w:color w:val="6E6158"/>
        </w:rPr>
        <w:t>Our</w:t>
      </w:r>
      <w:r>
        <w:rPr>
          <w:color w:val="6E6158"/>
          <w:spacing w:val="18"/>
        </w:rPr>
        <w:t> </w:t>
      </w:r>
      <w:r>
        <w:rPr>
          <w:color w:val="6E6158"/>
        </w:rPr>
        <w:t>State”</w:t>
      </w:r>
      <w:r>
        <w:rPr>
          <w:color w:val="6E6158"/>
          <w:spacing w:val="18"/>
        </w:rPr>
        <w:t> </w:t>
      </w:r>
      <w:r>
        <w:rPr>
          <w:color w:val="6E6158"/>
        </w:rPr>
        <w:t>anti-harassment</w:t>
      </w:r>
      <w:r>
        <w:rPr>
          <w:color w:val="6E6158"/>
          <w:spacing w:val="18"/>
        </w:rPr>
        <w:t> </w:t>
      </w:r>
      <w:r>
        <w:rPr>
          <w:color w:val="6E6158"/>
        </w:rPr>
        <w:t>and</w:t>
      </w:r>
      <w:r>
        <w:rPr>
          <w:color w:val="6E6158"/>
          <w:spacing w:val="18"/>
        </w:rPr>
        <w:t> </w:t>
      </w:r>
      <w:r>
        <w:rPr>
          <w:color w:val="6E6158"/>
        </w:rPr>
        <w:t>anti-discrimination program</w:t>
      </w:r>
    </w:p>
    <w:p>
      <w:pPr>
        <w:pStyle w:val="Heading1"/>
        <w:spacing w:before="285"/>
      </w:pPr>
      <w:r>
        <w:rPr>
          <w:color w:val="FF8100"/>
          <w:spacing w:val="-2"/>
        </w:rPr>
        <w:t>ADMISSIONS</w:t>
      </w:r>
    </w:p>
    <w:p>
      <w:pPr>
        <w:pStyle w:val="BodyText"/>
        <w:spacing w:before="15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1060346</wp:posOffset>
                </wp:positionH>
                <wp:positionV relativeFrom="paragraph">
                  <wp:posOffset>157838</wp:posOffset>
                </wp:positionV>
                <wp:extent cx="20955" cy="20955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28217pt;width:1.65pt;height:1.65pt;mso-position-horizontal-relative:page;mso-position-vertical-relative:paragraph;z-index:15749120" id="docshape50" coordorigin="1670,249" coordsize="33,33" path="m1691,281l1682,281,1678,280,1671,273,1670,269,1670,260,1671,257,1678,250,1682,249,1691,249,1694,250,1701,257,1702,260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Arizona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1060346</wp:posOffset>
                </wp:positionH>
                <wp:positionV relativeFrom="paragraph">
                  <wp:posOffset>169853</wp:posOffset>
                </wp:positionV>
                <wp:extent cx="20955" cy="2095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374254pt;width:1.65pt;height:1.65pt;mso-position-horizontal-relative:page;mso-position-vertical-relative:paragraph;z-index:15749632" id="docshape51" coordorigin="1670,267" coordsize="33,33" path="m1691,300l1682,300,1678,298,1671,292,1670,288,1670,279,1671,275,1678,269,1682,267,1691,267,1694,269,1701,275,1702,279,1702,284,1702,288,1701,292,1694,298,1691,30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9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Arizona</w:t>
      </w:r>
    </w:p>
    <w:p>
      <w:pPr>
        <w:pStyle w:val="BodyText"/>
        <w:spacing w:before="40"/>
        <w:ind w:left="0"/>
        <w:rPr>
          <w:sz w:val="24"/>
        </w:rPr>
      </w:pPr>
    </w:p>
    <w:p>
      <w:pPr>
        <w:pStyle w:val="Heading1"/>
        <w:spacing w:before="1"/>
      </w:pPr>
      <w:r>
        <w:rPr>
          <w:color w:val="FF8100"/>
          <w:spacing w:val="-2"/>
        </w:rPr>
        <w:t>LANGUAGE</w:t>
      </w:r>
    </w:p>
    <w:p>
      <w:pPr>
        <w:pStyle w:val="BodyText"/>
        <w:spacing w:before="1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1060346</wp:posOffset>
                </wp:positionH>
                <wp:positionV relativeFrom="paragraph">
                  <wp:posOffset>157608</wp:posOffset>
                </wp:positionV>
                <wp:extent cx="20955" cy="20955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10126pt;width:1.65pt;height:1.65pt;mso-position-horizontal-relative:page;mso-position-vertical-relative:paragraph;z-index:15750144" id="docshape52" coordorigin="1670,248" coordsize="33,33" path="m1691,281l1682,281,1678,279,1671,273,1670,269,1670,260,1671,256,1678,250,1682,248,1691,248,1694,250,1701,256,1702,260,1702,264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Italian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(Fluent)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employment-and-labor-relations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bpedrini@fennemorelaw.com" TargetMode="External"/><Relationship Id="rId11" Type="http://schemas.openxmlformats.org/officeDocument/2006/relationships/hyperlink" Target="https://www.fennemorelaw.com/update-u-s-department-of-education-final-title-ix-regulations-effective-august-1-increase-scope-against-sex-discrimination/" TargetMode="External"/><Relationship Id="rId12" Type="http://schemas.openxmlformats.org/officeDocument/2006/relationships/hyperlink" Target="https://www.fennemorelaw.com/update-u-s-department-of-education-final-title-ix-regulations-effective-august-1-increase-scope-against-sex-discrimination-key-facts-about-title-ix-training/" TargetMode="External"/><Relationship Id="rId13" Type="http://schemas.openxmlformats.org/officeDocument/2006/relationships/hyperlink" Target="https://www.fennemorelaw.com/i-liken-that-work-to-standing-in-a-batters-box-and-taking-the-pitches-as-they-come/" TargetMode="External"/><Relationship Id="rId14" Type="http://schemas.openxmlformats.org/officeDocument/2006/relationships/hyperlink" Target="https://www.fennemorelaw.com/insights/newsletters/2020/covid-19-health-plan-coverage-for-furloughed-employees" TargetMode="External"/><Relationship Id="rId15" Type="http://schemas.openxmlformats.org/officeDocument/2006/relationships/hyperlink" Target="https://www.fennemorelaw.com/insights/newsletters/2020/understanding-the-emergency-family-medical-leave-expansion-act-and-emergency-paid-sick-leave-in-the-families-first-coronavirus-response-act" TargetMode="External"/><Relationship Id="rId16" Type="http://schemas.openxmlformats.org/officeDocument/2006/relationships/hyperlink" Target="https://www.fennemorelaw.com/insights/newsletters/2016/fair-housing-and-domestic-violence-nuisance-laws-eviction-policies-and-emergency-services-calls" TargetMode="External"/><Relationship Id="rId17" Type="http://schemas.openxmlformats.org/officeDocument/2006/relationships/hyperlink" Target="https://www.fennemorelaw.com/insights/newsletters/2016/fair-housing-issues-for-group-homes-and-state-and-local-land-use-laws" TargetMode="External"/><Relationship Id="rId18" Type="http://schemas.openxmlformats.org/officeDocument/2006/relationships/hyperlink" Target="https://www.fennemorelaw.com/insights/newsletters/2016/fight-over-enforcement-of-the-ada-and-azda-continues-to-heat-up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Bruna E. Pedrini - Fennemore</dc:title>
  <dcterms:created xsi:type="dcterms:W3CDTF">2025-12-08T21:07:04Z</dcterms:created>
  <dcterms:modified xsi:type="dcterms:W3CDTF">2025-12-08T21:07:04Z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2025-12-08T00:00:00Z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2025-12-08T00:00:00Z</vt:filetime>
  </property>
  <property fmtid="{D5CDD505-2E9C-101B-9397-08002B2CF9AE}" pid="5" name="Producer">
    <vt:lpwstr>Skia/PDF m142</vt:lpwstr>
  </property>
</Properties>
</file>