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236"/>
        <w:ind w:left="0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-2956956</wp:posOffset>
                </wp:positionV>
                <wp:extent cx="6071870" cy="28886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Chris Levkulich 0488websit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534435" y="1369338"/>
                            <a:ext cx="204152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1525" h="320675">
                                <a:moveTo>
                                  <a:pt x="2041093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2041093" y="320382"/>
                                </a:lnTo>
                                <a:lnTo>
                                  <a:pt x="2041093" y="315214"/>
                                </a:lnTo>
                                <a:close/>
                              </a:path>
                              <a:path w="2041525" h="320675">
                                <a:moveTo>
                                  <a:pt x="2041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041093" y="5168"/>
                                </a:lnTo>
                                <a:lnTo>
                                  <a:pt x="20410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532503" y="763308"/>
                            <a:ext cx="2055495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CHRIS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LEVKULICH</w:t>
                              </w:r>
                            </w:p>
                            <w:p>
                              <w:pPr>
                                <w:spacing w:before="39"/>
                                <w:ind w:left="0" w:right="17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Counsel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72273" y="1859626"/>
                            <a:ext cx="3759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01374" y="201978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303.813.3841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31643" y="2019783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303.291.3201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763579" y="2226505"/>
                            <a:ext cx="159321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clevkulich@fennemorelaw.com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32.831253pt;width:478.1pt;height:227.45pt;mso-position-horizontal-relative:page;mso-position-vertical-relative:paragraph;z-index:15728640" id="docshapegroup1" coordorigin="1336,-4657" coordsize="9562,4549">
                <v:shape style="position:absolute;left:1336;top:-4657;width:2165;height:424" type="#_x0000_t75" id="docshape2" alt="Fennemore" href="https://www.fennemorelaw.com/" stroked="false">
                  <v:imagedata r:id="rId5" o:title=""/>
                </v:shape>
                <v:shape style="position:absolute;left:1336;top:-4234;width:4785;height:4126" type="#_x0000_t75" id="docshape3" alt="Chris Levkulich 0488website" stroked="false">
                  <v:imagedata r:id="rId7" o:title=""/>
                </v:shape>
                <v:rect style="position:absolute;left:6121;top:-4234;width:4777;height:4126" id="docshape4" filled="true" fillcolor="#262424" stroked="false">
                  <v:fill type="solid"/>
                </v:rect>
                <v:shape style="position:absolute;left:6902;top:-2501;width:3215;height:505" id="docshape5" coordorigin="6902,-2500" coordsize="3215,505" path="m10117,-2004l6902,-2004,6902,-1996,10117,-1996,10117,-2004xm10117,-2500l6902,-2500,6902,-2492,10117,-2492,10117,-250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899;top:-3455;width:3237;height:1300" type="#_x0000_t202" id="docshape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CHRIS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LEVKULICH</w:t>
                        </w:r>
                      </w:p>
                      <w:p>
                        <w:pPr>
                          <w:spacing w:before="39"/>
                          <w:ind w:left="0" w:right="17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Counsel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21;top:-1729;width:592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007;top:-1476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303.813.3841</w:t>
                        </w:r>
                      </w:p>
                    </w:txbxContent>
                  </v:textbox>
                  <w10:wrap type="none"/>
                </v:shape>
                <v:shape style="position:absolute;left:8787;top:-1476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303.291.3201</w:t>
                        </w:r>
                      </w:p>
                    </w:txbxContent>
                  </v:textbox>
                  <w10:wrap type="none"/>
                </v:shape>
                <v:shape style="position:absolute;left:7263;top:-1151;width:2509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clevkulich@fennemorelaw.com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CHRIS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LEVKULICH</w:t>
      </w:r>
    </w:p>
    <w:p>
      <w:pPr>
        <w:pStyle w:val="BodyText"/>
        <w:spacing w:line="297" w:lineRule="auto" w:before="147"/>
        <w:ind w:left="99" w:right="196"/>
      </w:pPr>
      <w:r>
        <w:rPr>
          <w:color w:val="6E6158"/>
        </w:rPr>
        <w:t>Chris advises businesses and their owners on matters relating to the taxation of corporations and</w:t>
      </w:r>
      <w:r>
        <w:rPr>
          <w:color w:val="6E6158"/>
          <w:spacing w:val="40"/>
        </w:rPr>
        <w:t> </w:t>
      </w:r>
      <w:r>
        <w:rPr>
          <w:color w:val="6E6158"/>
        </w:rPr>
        <w:t>partnerships, entity formation, mergers and acquisitions, private equity investments, asset sales,</w:t>
      </w:r>
      <w:r>
        <w:rPr>
          <w:color w:val="6E6158"/>
          <w:spacing w:val="40"/>
        </w:rPr>
        <w:t> </w:t>
      </w:r>
      <w:r>
        <w:rPr>
          <w:color w:val="6E6158"/>
        </w:rPr>
        <w:t>and real estate transactions. Chris also counsels individuals in estate planning and general</w:t>
      </w:r>
      <w:r>
        <w:rPr>
          <w:color w:val="6E6158"/>
          <w:spacing w:val="80"/>
        </w:rPr>
        <w:t> </w:t>
      </w:r>
      <w:r>
        <w:rPr>
          <w:color w:val="6E6158"/>
        </w:rPr>
        <w:t>income</w:t>
      </w:r>
      <w:r>
        <w:rPr>
          <w:color w:val="6E6158"/>
          <w:spacing w:val="20"/>
        </w:rPr>
        <w:t> </w:t>
      </w:r>
      <w:r>
        <w:rPr>
          <w:color w:val="6E6158"/>
        </w:rPr>
        <w:t>tax</w:t>
      </w:r>
      <w:r>
        <w:rPr>
          <w:color w:val="6E6158"/>
          <w:spacing w:val="20"/>
        </w:rPr>
        <w:t> </w:t>
      </w:r>
      <w:r>
        <w:rPr>
          <w:color w:val="6E6158"/>
        </w:rPr>
        <w:t>matters.</w:t>
      </w:r>
      <w:r>
        <w:rPr>
          <w:color w:val="6E6158"/>
          <w:spacing w:val="20"/>
        </w:rPr>
        <w:t> </w:t>
      </w:r>
      <w:r>
        <w:rPr>
          <w:color w:val="6E6158"/>
        </w:rPr>
        <w:t>Additionally,</w:t>
      </w:r>
      <w:r>
        <w:rPr>
          <w:color w:val="6E6158"/>
          <w:spacing w:val="20"/>
        </w:rPr>
        <w:t> </w:t>
      </w:r>
      <w:r>
        <w:rPr>
          <w:color w:val="6E6158"/>
        </w:rPr>
        <w:t>Chris</w:t>
      </w:r>
      <w:r>
        <w:rPr>
          <w:color w:val="6E6158"/>
          <w:spacing w:val="20"/>
        </w:rPr>
        <w:t> </w:t>
      </w:r>
      <w:r>
        <w:rPr>
          <w:color w:val="6E6158"/>
        </w:rPr>
        <w:t>represents</w:t>
      </w:r>
      <w:r>
        <w:rPr>
          <w:color w:val="6E6158"/>
          <w:spacing w:val="20"/>
        </w:rPr>
        <w:t> </w:t>
      </w:r>
      <w:r>
        <w:rPr>
          <w:color w:val="6E6158"/>
        </w:rPr>
        <w:t>buyers</w:t>
      </w:r>
      <w:r>
        <w:rPr>
          <w:color w:val="6E6158"/>
          <w:spacing w:val="20"/>
        </w:rPr>
        <w:t> </w:t>
      </w:r>
      <w:r>
        <w:rPr>
          <w:color w:val="6E6158"/>
        </w:rPr>
        <w:t>and</w:t>
      </w:r>
      <w:r>
        <w:rPr>
          <w:color w:val="6E6158"/>
          <w:spacing w:val="20"/>
        </w:rPr>
        <w:t> </w:t>
      </w:r>
      <w:r>
        <w:rPr>
          <w:color w:val="6E6158"/>
        </w:rPr>
        <w:t>sellers</w:t>
      </w:r>
      <w:r>
        <w:rPr>
          <w:color w:val="6E6158"/>
          <w:spacing w:val="20"/>
        </w:rPr>
        <w:t> </w:t>
      </w:r>
      <w:r>
        <w:rPr>
          <w:color w:val="6E6158"/>
        </w:rPr>
        <w:t>of</w:t>
      </w:r>
      <w:r>
        <w:rPr>
          <w:color w:val="6E6158"/>
          <w:spacing w:val="20"/>
        </w:rPr>
        <w:t> </w:t>
      </w:r>
      <w:r>
        <w:rPr>
          <w:color w:val="6E6158"/>
        </w:rPr>
        <w:t>closely</w:t>
      </w:r>
      <w:r>
        <w:rPr>
          <w:color w:val="6E6158"/>
          <w:spacing w:val="20"/>
        </w:rPr>
        <w:t> </w:t>
      </w:r>
      <w:r>
        <w:rPr>
          <w:color w:val="6E6158"/>
        </w:rPr>
        <w:t>held</w:t>
      </w:r>
      <w:r>
        <w:rPr>
          <w:color w:val="6E6158"/>
          <w:spacing w:val="20"/>
        </w:rPr>
        <w:t> </w:t>
      </w:r>
      <w:r>
        <w:rPr>
          <w:color w:val="6E6158"/>
        </w:rPr>
        <w:t>businesses</w:t>
      </w:r>
      <w:r>
        <w:rPr>
          <w:color w:val="6E6158"/>
          <w:spacing w:val="20"/>
        </w:rPr>
        <w:t> </w:t>
      </w:r>
      <w:r>
        <w:rPr>
          <w:color w:val="6E6158"/>
        </w:rPr>
        <w:t>in all aspects of M&amp;A transactions, and advises sponsors in the formation and operation of private</w:t>
      </w:r>
      <w:r>
        <w:rPr>
          <w:color w:val="6E6158"/>
          <w:spacing w:val="40"/>
        </w:rPr>
        <w:t> </w:t>
      </w:r>
      <w:r>
        <w:rPr>
          <w:color w:val="6E6158"/>
        </w:rPr>
        <w:t>equity funds.</w:t>
      </w:r>
    </w:p>
    <w:p>
      <w:pPr>
        <w:pStyle w:val="BodyText"/>
        <w:spacing w:line="297" w:lineRule="auto" w:before="187"/>
        <w:ind w:left="99" w:right="376"/>
      </w:pPr>
      <w:r>
        <w:rPr>
          <w:color w:val="6E6158"/>
        </w:rPr>
        <w:t>Prior to joining Fennemore, Chris worked for a local firm specializing in tax matters and practiced</w:t>
      </w:r>
      <w:r>
        <w:rPr>
          <w:color w:val="6E6158"/>
          <w:spacing w:val="40"/>
        </w:rPr>
        <w:t> </w:t>
      </w:r>
      <w:r>
        <w:rPr>
          <w:color w:val="6E6158"/>
        </w:rPr>
        <w:t>as a CPA at a Big Four accounting firm. Chris’s tenure as a CPA provides him with a unique perspective on the tax and financial reporting aspects of business transactions.</w:t>
      </w:r>
    </w:p>
    <w:p>
      <w:pPr>
        <w:pStyle w:val="BodyText"/>
        <w:spacing w:line="292" w:lineRule="auto" w:before="192"/>
        <w:ind w:left="99" w:right="376"/>
      </w:pPr>
      <w:r>
        <w:rPr>
          <w:color w:val="6E6158"/>
        </w:rPr>
        <w:t>Chris enjoys spending time with his family, golfing, fly fishing, and watching all of Colorado’s</w:t>
      </w:r>
      <w:r>
        <w:rPr>
          <w:color w:val="6E6158"/>
          <w:spacing w:val="40"/>
        </w:rPr>
        <w:t> </w:t>
      </w:r>
      <w:r>
        <w:rPr>
          <w:color w:val="6E6158"/>
        </w:rPr>
        <w:t>sports teams.</w:t>
      </w:r>
    </w:p>
    <w:p>
      <w:pPr>
        <w:pStyle w:val="Heading1"/>
        <w:spacing w:before="162"/>
      </w:pPr>
      <w:r>
        <w:rPr>
          <w:color w:val="FF8100"/>
          <w:spacing w:val="-2"/>
        </w:rPr>
        <w:t>EDUCATION</w:t>
      </w:r>
    </w:p>
    <w:p>
      <w:pPr>
        <w:pStyle w:val="BodyText"/>
        <w:spacing w:before="15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157905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3543pt;width:1.65pt;height:1.65pt;mso-position-horizontal-relative:page;mso-position-vertical-relative:paragraph;z-index:15729152" id="docshape11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LL.M.</w:t>
      </w:r>
      <w:r>
        <w:rPr>
          <w:color w:val="6E6158"/>
          <w:spacing w:val="8"/>
        </w:rPr>
        <w:t> </w:t>
      </w:r>
      <w:r>
        <w:rPr>
          <w:color w:val="6E6158"/>
        </w:rPr>
        <w:t>in</w:t>
      </w:r>
      <w:r>
        <w:rPr>
          <w:color w:val="6E6158"/>
          <w:spacing w:val="9"/>
        </w:rPr>
        <w:t> </w:t>
      </w:r>
      <w:r>
        <w:rPr>
          <w:color w:val="6E6158"/>
        </w:rPr>
        <w:t>Taxation,</w:t>
      </w:r>
      <w:r>
        <w:rPr>
          <w:color w:val="6E6158"/>
          <w:spacing w:val="8"/>
        </w:rPr>
        <w:t> </w:t>
      </w:r>
      <w:r>
        <w:rPr>
          <w:color w:val="6E6158"/>
        </w:rPr>
        <w:t>University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Denver</w:t>
      </w:r>
    </w:p>
    <w:p>
      <w:pPr>
        <w:pStyle w:val="BodyText"/>
        <w:spacing w:line="408" w:lineRule="auto" w:before="174"/>
        <w:ind w:right="4416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169920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379581pt;width:1.65pt;height:1.65pt;mso-position-horizontal-relative:page;mso-position-vertical-relative:paragraph;z-index:15729664" id="docshape12" coordorigin="1670,268" coordsize="33,33" path="m1691,300l1682,300,1678,299,1671,292,1670,288,1670,279,1671,276,1678,269,1682,268,1691,268,1694,269,1701,276,1702,279,1702,284,1702,288,1701,292,1694,299,1691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433453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30196pt;width:1.65pt;height:1.65pt;mso-position-horizontal-relative:page;mso-position-vertical-relative:paragraph;z-index:15730176" id="docshape13" coordorigin="1670,683" coordsize="33,33" path="m1691,715l1682,715,1678,714,1671,707,1670,703,1670,694,1671,691,1678,684,1682,683,1691,683,1694,684,1701,691,1702,694,1702,699,1702,703,1701,707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University of Denver Sturm College of </w:t>
      </w:r>
      <w:r>
        <w:rPr>
          <w:color w:val="6E6158"/>
        </w:rPr>
        <w:t>Law</w:t>
      </w:r>
      <w:r>
        <w:rPr>
          <w:color w:val="6E6158"/>
        </w:rPr>
        <w:t> B.S., Boston College, </w:t>
      </w:r>
      <w:r>
        <w:rPr>
          <w:i/>
          <w:color w:val="6E6158"/>
          <w:sz w:val="20"/>
        </w:rPr>
        <w:t>cum laude</w:t>
      </w:r>
    </w:p>
    <w:p>
      <w:pPr>
        <w:pStyle w:val="Heading1"/>
        <w:spacing w:before="162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7" w:lineRule="auto" w:before="147"/>
        <w:ind w:right="70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157803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5455pt;width:1.65pt;height:1.65pt;mso-position-horizontal-relative:page;mso-position-vertical-relative:paragraph;z-index:15730688" id="docshape14" coordorigin="1670,249" coordsize="33,33" path="m1691,281l1682,281,1678,279,1671,273,1670,269,1670,260,1671,256,1678,250,1682,249,1691,249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416168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9199pt;width:1.65pt;height:1.65pt;mso-position-horizontal-relative:page;mso-position-vertical-relative:paragraph;z-index:15731200" id="docshape15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&amp; </w:t>
      </w:r>
      <w:r>
        <w:rPr>
          <w:color w:val="6E6158"/>
        </w:rPr>
        <w:t>Finance Tax Law</w:t>
      </w:r>
    </w:p>
    <w:p>
      <w:pPr>
        <w:pStyle w:val="BodyText"/>
        <w:spacing w:line="420" w:lineRule="auto"/>
        <w:ind w:right="60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59740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03983pt;width:1.65pt;height:1.65pt;mso-position-horizontal-relative:page;mso-position-vertical-relative:paragraph;z-index:15731712" id="docshape16" coordorigin="1670,94" coordsize="33,33" path="m1691,127l1682,127,1678,125,1671,119,1670,115,1670,106,1671,102,1678,96,1682,94,1691,94,1694,96,1701,102,1702,106,1702,110,1702,115,1701,119,1694,125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318106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04775pt;width:1.65pt;height:1.65pt;mso-position-horizontal-relative:page;mso-position-vertical-relative:paragraph;z-index:15732224" id="docshape17" coordorigin="1670,501" coordsize="33,33" path="m1691,534l1682,534,1678,532,1671,526,1670,522,1670,513,1671,509,1678,503,1682,501,1691,501,1694,503,1701,509,1702,513,1702,517,1702,522,1701,526,1694,532,1691,5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Employment &amp; Labor Blockchain</w:t>
      </w:r>
      <w:r>
        <w:rPr>
          <w:color w:val="6E6158"/>
          <w:spacing w:val="12"/>
        </w:rPr>
        <w:t> </w:t>
      </w:r>
      <w:r>
        <w:rPr>
          <w:color w:val="6E6158"/>
        </w:rPr>
        <w:t>&amp;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Cryptocurrency</w:t>
      </w:r>
    </w:p>
    <w:p>
      <w:pPr>
        <w:pStyle w:val="Heading1"/>
        <w:spacing w:before="152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before="155"/>
      </w:pPr>
      <w:hyperlink r:id="rId11">
        <w:r>
          <w:rPr>
            <w:color w:val="F5821F"/>
          </w:rPr>
          <w:t>Served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as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exclusive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legal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advisor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to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CFO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Project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in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its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acquisition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by</w:t>
        </w:r>
        <w:r>
          <w:rPr>
            <w:color w:val="F5821F"/>
            <w:spacing w:val="9"/>
          </w:rPr>
          <w:t> </w:t>
        </w:r>
        <w:r>
          <w:rPr>
            <w:color w:val="F5821F"/>
            <w:spacing w:val="-2"/>
          </w:rPr>
          <w:t>Broadtree</w:t>
        </w:r>
      </w:hyperlink>
    </w:p>
    <w:p>
      <w:pPr>
        <w:pStyle w:val="BodyText"/>
        <w:spacing w:line="292" w:lineRule="auto" w:before="52"/>
        <w:ind w:right="1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92244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.263312pt;width:1.65pt;height:1.65pt;mso-position-horizontal-relative:page;mso-position-vertical-relative:paragraph;z-index:15732736" id="docshape18" coordorigin="1670,145" coordsize="33,33" path="m1691,178l1682,178,1678,176,1671,170,1670,166,1670,157,1671,153,1678,147,1682,145,1691,145,1694,147,1701,153,1702,157,1702,162,1702,166,1701,170,1694,176,1691,17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1">
        <w:r>
          <w:rPr>
            <w:color w:val="F5821F"/>
          </w:rPr>
          <w:t>Partners, supporting its goal to expand its community as the demand for business </w:t>
        </w:r>
        <w:r>
          <w:rPr>
            <w:color w:val="F5821F"/>
          </w:rPr>
          <w:t>finance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expertise continues to grow.</w:t>
        </w:r>
      </w:hyperlink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2" w:lineRule="auto" w:before="83"/>
        <w:ind w:right="37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33248" id="docshape19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2">
        <w:r>
          <w:rPr>
            <w:color w:val="F5821F"/>
          </w:rPr>
          <w:t>Represented Argus Professional Storage Management, LLC in its combination with </w:t>
        </w:r>
        <w:r>
          <w:rPr>
            <w:color w:val="F5821F"/>
          </w:rPr>
          <w:t>SmartStop</w:t>
        </w:r>
      </w:hyperlink>
      <w:r>
        <w:rPr>
          <w:color w:val="F5821F"/>
          <w:spacing w:val="40"/>
        </w:rPr>
        <w:t> </w:t>
      </w:r>
      <w:hyperlink r:id="rId12">
        <w:r>
          <w:rPr>
            <w:color w:val="F5821F"/>
          </w:rPr>
          <w:t>Self Storage REIT, Inc. (NYSE: SMA).</w:t>
        </w:r>
      </w:hyperlink>
    </w:p>
    <w:p>
      <w:pPr>
        <w:pStyle w:val="Heading1"/>
        <w:spacing w:before="17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139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162947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830478pt;width:1.65pt;height:1.65pt;mso-position-horizontal-relative:page;mso-position-vertical-relative:paragraph;z-index:15733760" id="docshape20" coordorigin="1670,257" coordsize="33,33" path="m1691,289l1682,289,1678,288,1671,281,1670,277,1670,268,1671,265,1678,258,1682,257,1691,257,1694,258,1701,265,1702,268,1702,273,1702,277,1701,281,1694,288,1691,28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12"/>
          <w:sz w:val="20"/>
        </w:rPr>
        <w:t> </w:t>
      </w:r>
      <w:r>
        <w:rPr>
          <w:color w:val="6E6158"/>
          <w:sz w:val="19"/>
        </w:rPr>
        <w:t>Tax</w:t>
      </w:r>
      <w:r>
        <w:rPr>
          <w:color w:val="6E6158"/>
          <w:spacing w:val="-10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9"/>
          <w:sz w:val="19"/>
        </w:rPr>
        <w:t> </w:t>
      </w:r>
      <w:r>
        <w:rPr>
          <w:color w:val="6E6158"/>
          <w:spacing w:val="-4"/>
          <w:sz w:val="19"/>
        </w:rPr>
        <w:t>2026</w:t>
      </w:r>
    </w:p>
    <w:p>
      <w:pPr>
        <w:pStyle w:val="BodyText"/>
        <w:spacing w:before="1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173936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95785pt;width:1.65pt;height:1.65pt;mso-position-horizontal-relative:page;mso-position-vertical-relative:paragraph;z-index:15734272" id="docshape21" coordorigin="1670,274" coordsize="33,33" path="m1691,306l1682,306,1678,305,1671,299,1670,295,1670,286,1671,282,1678,276,1682,274,1691,274,1694,276,1701,282,1702,286,1702,290,1702,295,1701,299,1694,305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5280</w:t>
      </w:r>
      <w:r>
        <w:rPr>
          <w:color w:val="6E6158"/>
          <w:spacing w:val="5"/>
        </w:rPr>
        <w:t> </w:t>
      </w:r>
      <w:r>
        <w:rPr>
          <w:color w:val="6E6158"/>
        </w:rPr>
        <w:t>Magazine</w:t>
      </w:r>
      <w:r>
        <w:rPr>
          <w:color w:val="6E6158"/>
          <w:spacing w:val="6"/>
        </w:rPr>
        <w:t> </w:t>
      </w:r>
      <w:r>
        <w:rPr>
          <w:color w:val="6E6158"/>
        </w:rPr>
        <w:t>Top</w:t>
      </w:r>
      <w:r>
        <w:rPr>
          <w:color w:val="6E6158"/>
          <w:spacing w:val="6"/>
        </w:rPr>
        <w:t> </w:t>
      </w:r>
      <w:r>
        <w:rPr>
          <w:color w:val="6E6158"/>
        </w:rPr>
        <w:t>Tax</w:t>
      </w:r>
      <w:r>
        <w:rPr>
          <w:color w:val="6E6158"/>
          <w:spacing w:val="6"/>
        </w:rPr>
        <w:t> </w:t>
      </w:r>
      <w:r>
        <w:rPr>
          <w:color w:val="6E6158"/>
        </w:rPr>
        <w:t>and</w:t>
      </w:r>
      <w:r>
        <w:rPr>
          <w:color w:val="6E6158"/>
          <w:spacing w:val="6"/>
        </w:rPr>
        <w:t> </w:t>
      </w:r>
      <w:r>
        <w:rPr>
          <w:color w:val="6E6158"/>
        </w:rPr>
        <w:t>Business</w:t>
      </w:r>
      <w:r>
        <w:rPr>
          <w:color w:val="6E6158"/>
          <w:spacing w:val="5"/>
        </w:rPr>
        <w:t> </w:t>
      </w:r>
      <w:r>
        <w:rPr>
          <w:color w:val="6E6158"/>
        </w:rPr>
        <w:t>Lawyer,</w:t>
      </w:r>
      <w:r>
        <w:rPr>
          <w:color w:val="6E6158"/>
          <w:spacing w:val="6"/>
        </w:rPr>
        <w:t> </w:t>
      </w:r>
      <w:r>
        <w:rPr>
          <w:color w:val="6E6158"/>
          <w:spacing w:val="-4"/>
        </w:rPr>
        <w:t>2024</w:t>
      </w:r>
    </w:p>
    <w:p>
      <w:pPr>
        <w:spacing w:line="288" w:lineRule="auto" w:before="167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273336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522532pt;width:1.65pt;height:1.65pt;mso-position-horizontal-relative:page;mso-position-vertical-relative:paragraph;z-index:15734784" id="docshape22" coordorigin="1670,430" coordsize="33,33" path="m1691,463l1682,463,1678,461,1671,455,1670,451,1670,442,1671,438,1678,432,1682,430,1691,430,1694,432,1701,438,1702,442,1702,447,1702,451,1701,455,1694,461,1691,46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  <w:sz w:val="19"/>
        </w:rPr>
        <w:t>, Ones to Watch – Business Organizations (including LLCs </w:t>
      </w:r>
      <w:r>
        <w:rPr>
          <w:color w:val="6E6158"/>
          <w:sz w:val="19"/>
        </w:rPr>
        <w:t>and partnerships), 2024-2025</w:t>
      </w:r>
    </w:p>
    <w:p>
      <w:pPr>
        <w:spacing w:line="408" w:lineRule="auto" w:before="128"/>
        <w:ind w:left="351" w:right="210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156071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28907pt;width:1.65pt;height:1.65pt;mso-position-horizontal-relative:page;mso-position-vertical-relative:paragraph;z-index:15735296" id="docshape23" coordorigin="1670,246" coordsize="33,33" path="m1691,278l1682,278,1678,277,1671,270,1670,267,1670,258,1671,254,1678,247,1682,246,1691,246,1694,247,1701,254,1702,258,1702,262,1702,267,1701,270,1694,277,1691,27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429939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3.853504pt;width:1.65pt;height:1.65pt;mso-position-horizontal-relative:page;mso-position-vertical-relative:paragraph;z-index:15735808" id="docshape24" coordorigin="1670,677" coordsize="33,33" path="m1691,710l1682,710,1678,708,1671,702,1670,698,1670,689,1671,685,1678,679,1682,677,1691,677,1694,679,1701,685,1702,689,1702,693,1702,698,1701,702,1694,708,1691,71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  <w:sz w:val="19"/>
        </w:rPr>
        <w:t>, Ones to Watch – Corporate Law, </w:t>
      </w:r>
      <w:r>
        <w:rPr>
          <w:color w:val="6E6158"/>
          <w:sz w:val="19"/>
        </w:rPr>
        <w:t>2025 Colorado Super Lawyer Rising Stars – Tax Law, 2021</w:t>
      </w:r>
    </w:p>
    <w:p>
      <w:pPr>
        <w:pStyle w:val="Heading1"/>
        <w:spacing w:before="173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157612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0395pt;width:1.65pt;height:1.65pt;mso-position-horizontal-relative:page;mso-position-vertical-relative:paragraph;z-index:15736320" id="docshape25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</w:t>
      </w:r>
      <w:r>
        <w:rPr>
          <w:color w:val="6E6158"/>
          <w:spacing w:val="11"/>
        </w:rPr>
        <w:t> </w:t>
      </w:r>
      <w:r>
        <w:rPr>
          <w:color w:val="6E6158"/>
        </w:rPr>
        <w:t>“Post-U.S.</w:t>
      </w:r>
      <w:r>
        <w:rPr>
          <w:color w:val="6E6158"/>
          <w:spacing w:val="12"/>
        </w:rPr>
        <w:t> </w:t>
      </w:r>
      <w:r>
        <w:rPr>
          <w:color w:val="6E6158"/>
        </w:rPr>
        <w:t>Election</w:t>
      </w:r>
      <w:r>
        <w:rPr>
          <w:color w:val="6E6158"/>
          <w:spacing w:val="11"/>
        </w:rPr>
        <w:t> </w:t>
      </w:r>
      <w:r>
        <w:rPr>
          <w:color w:val="6E6158"/>
        </w:rPr>
        <w:t>Debrief</w:t>
      </w:r>
      <w:r>
        <w:rPr>
          <w:color w:val="6E6158"/>
          <w:spacing w:val="12"/>
        </w:rPr>
        <w:t> </w:t>
      </w:r>
      <w:r>
        <w:rPr>
          <w:color w:val="6E6158"/>
        </w:rPr>
        <w:t>with</w:t>
      </w:r>
      <w:r>
        <w:rPr>
          <w:color w:val="6E6158"/>
          <w:spacing w:val="11"/>
        </w:rPr>
        <w:t> </w:t>
      </w:r>
      <w:r>
        <w:rPr>
          <w:color w:val="6E6158"/>
        </w:rPr>
        <w:t>10</w:t>
      </w:r>
      <w:r>
        <w:rPr>
          <w:color w:val="6E6158"/>
          <w:spacing w:val="12"/>
        </w:rPr>
        <w:t> </w:t>
      </w:r>
      <w:r>
        <w:rPr>
          <w:color w:val="6E6158"/>
        </w:rPr>
        <w:t>Tax</w:t>
      </w:r>
      <w:r>
        <w:rPr>
          <w:color w:val="6E6158"/>
          <w:spacing w:val="12"/>
        </w:rPr>
        <w:t> </w:t>
      </w:r>
      <w:r>
        <w:rPr>
          <w:color w:val="6E6158"/>
        </w:rPr>
        <w:t>Lawyer</w:t>
      </w:r>
      <w:r>
        <w:rPr>
          <w:color w:val="6E6158"/>
          <w:spacing w:val="11"/>
        </w:rPr>
        <w:t> </w:t>
      </w:r>
      <w:r>
        <w:rPr>
          <w:color w:val="6E6158"/>
        </w:rPr>
        <w:t>Perspectives,”</w:t>
      </w:r>
      <w:r>
        <w:rPr>
          <w:color w:val="6E6158"/>
          <w:spacing w:val="12"/>
        </w:rPr>
        <w:t> </w:t>
      </w:r>
      <w:r>
        <w:rPr>
          <w:color w:val="6E6158"/>
        </w:rPr>
        <w:t>361Firm,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268353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30188pt;width:1.65pt;height:1.65pt;mso-position-horizontal-relative:page;mso-position-vertical-relative:paragraph;z-index:15736832" id="docshape26" coordorigin="1670,423" coordsize="33,33" path="m1691,455l1682,455,1678,454,1671,447,1670,443,1670,434,1671,431,1678,424,1682,423,1691,423,1694,424,1701,431,1702,434,1702,439,1702,443,1701,447,1694,454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“Cryptocurrency: Tax and Estate Planning,” Boulder County Estate Planning </w:t>
      </w:r>
      <w:r>
        <w:rPr>
          <w:color w:val="6E6158"/>
        </w:rPr>
        <w:t>Council, </w:t>
      </w:r>
      <w:r>
        <w:rPr>
          <w:color w:val="6E6158"/>
          <w:spacing w:val="-4"/>
        </w:rPr>
        <w:t>2024</w:t>
      </w:r>
    </w:p>
    <w:p>
      <w:pPr>
        <w:pStyle w:val="BodyText"/>
        <w:spacing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143221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7315pt;width:1.65pt;height:1.65pt;mso-position-horizontal-relative:page;mso-position-vertical-relative:paragraph;z-index:15737344" id="docshape27" coordorigin="1670,226" coordsize="33,33" path="m1691,258l1682,258,1678,257,1671,250,1670,246,1670,237,1671,233,1678,227,1682,226,1691,226,1694,227,1701,233,1702,237,1702,242,1702,246,1701,250,1694,257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</w:t>
      </w:r>
      <w:r>
        <w:rPr>
          <w:color w:val="6E6158"/>
          <w:spacing w:val="12"/>
        </w:rPr>
        <w:t> </w:t>
      </w:r>
      <w:r>
        <w:rPr>
          <w:color w:val="6E6158"/>
        </w:rPr>
        <w:t>“Corporate</w:t>
      </w:r>
      <w:r>
        <w:rPr>
          <w:color w:val="6E6158"/>
          <w:spacing w:val="13"/>
        </w:rPr>
        <w:t> </w:t>
      </w:r>
      <w:r>
        <w:rPr>
          <w:color w:val="6E6158"/>
        </w:rPr>
        <w:t>Transparency</w:t>
      </w:r>
      <w:r>
        <w:rPr>
          <w:color w:val="6E6158"/>
          <w:spacing w:val="13"/>
        </w:rPr>
        <w:t> </w:t>
      </w:r>
      <w:r>
        <w:rPr>
          <w:color w:val="6E6158"/>
        </w:rPr>
        <w:t>Act:</w:t>
      </w:r>
      <w:r>
        <w:rPr>
          <w:color w:val="6E6158"/>
          <w:spacing w:val="13"/>
        </w:rPr>
        <w:t> </w:t>
      </w:r>
      <w:r>
        <w:rPr>
          <w:color w:val="6E6158"/>
        </w:rPr>
        <w:t>Who</w:t>
      </w:r>
      <w:r>
        <w:rPr>
          <w:color w:val="6E6158"/>
          <w:spacing w:val="13"/>
        </w:rPr>
        <w:t> </w:t>
      </w:r>
      <w:r>
        <w:rPr>
          <w:color w:val="6E6158"/>
        </w:rPr>
        <w:t>are</w:t>
      </w:r>
      <w:r>
        <w:rPr>
          <w:color w:val="6E6158"/>
          <w:spacing w:val="12"/>
        </w:rPr>
        <w:t> </w:t>
      </w:r>
      <w:r>
        <w:rPr>
          <w:color w:val="6E6158"/>
        </w:rPr>
        <w:t>Beneficial</w:t>
      </w:r>
      <w:r>
        <w:rPr>
          <w:color w:val="6E6158"/>
          <w:spacing w:val="13"/>
        </w:rPr>
        <w:t> </w:t>
      </w:r>
      <w:r>
        <w:rPr>
          <w:color w:val="6E6158"/>
        </w:rPr>
        <w:t>Owners?,”</w:t>
      </w:r>
      <w:r>
        <w:rPr>
          <w:color w:val="6E6158"/>
          <w:spacing w:val="13"/>
        </w:rPr>
        <w:t> </w:t>
      </w:r>
      <w:r>
        <w:rPr>
          <w:color w:val="6E6158"/>
        </w:rPr>
        <w:t>CPE4U,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302" w:lineRule="auto" w:before="174"/>
        <w:ind w:right="1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267933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97109pt;width:1.65pt;height:1.65pt;mso-position-horizontal-relative:page;mso-position-vertical-relative:paragraph;z-index:15737856" id="docshape28" coordorigin="1670,422" coordsize="33,33" path="m1691,454l1682,454,1678,453,1671,447,1670,443,1670,434,1671,430,1678,424,1682,422,1691,422,1694,424,1701,430,1702,434,1702,438,1702,443,1701,447,1694,453,1691,4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</w:t>
      </w:r>
      <w:r>
        <w:rPr>
          <w:color w:val="6E6158"/>
          <w:spacing w:val="15"/>
        </w:rPr>
        <w:t> </w:t>
      </w:r>
      <w:r>
        <w:rPr>
          <w:color w:val="6E6158"/>
        </w:rPr>
        <w:t>“Annual</w:t>
      </w:r>
      <w:r>
        <w:rPr>
          <w:color w:val="6E6158"/>
          <w:spacing w:val="15"/>
        </w:rPr>
        <w:t> </w:t>
      </w:r>
      <w:r>
        <w:rPr>
          <w:color w:val="6E6158"/>
        </w:rPr>
        <w:t>Update</w:t>
      </w:r>
      <w:r>
        <w:rPr>
          <w:color w:val="6E6158"/>
          <w:spacing w:val="15"/>
        </w:rPr>
        <w:t> </w:t>
      </w:r>
      <w:r>
        <w:rPr>
          <w:color w:val="6E6158"/>
        </w:rPr>
        <w:t>on</w:t>
      </w:r>
      <w:r>
        <w:rPr>
          <w:color w:val="6E6158"/>
          <w:spacing w:val="15"/>
        </w:rPr>
        <w:t> </w:t>
      </w:r>
      <w:r>
        <w:rPr>
          <w:color w:val="6E6158"/>
        </w:rPr>
        <w:t>the</w:t>
      </w:r>
      <w:r>
        <w:rPr>
          <w:color w:val="6E6158"/>
          <w:spacing w:val="15"/>
        </w:rPr>
        <w:t> </w:t>
      </w:r>
      <w:r>
        <w:rPr>
          <w:color w:val="6E6158"/>
        </w:rPr>
        <w:t>Taxation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Pass-Through</w:t>
      </w:r>
      <w:r>
        <w:rPr>
          <w:color w:val="6E6158"/>
          <w:spacing w:val="15"/>
        </w:rPr>
        <w:t> </w:t>
      </w:r>
      <w:r>
        <w:rPr>
          <w:color w:val="6E6158"/>
        </w:rPr>
        <w:t>Entities,”</w:t>
      </w:r>
      <w:r>
        <w:rPr>
          <w:color w:val="6E6158"/>
          <w:spacing w:val="15"/>
        </w:rPr>
        <w:t> </w:t>
      </w:r>
      <w:r>
        <w:rPr>
          <w:color w:val="6E6158"/>
        </w:rPr>
        <w:t>Colorado</w:t>
      </w:r>
      <w:r>
        <w:rPr>
          <w:color w:val="6E6158"/>
          <w:spacing w:val="15"/>
        </w:rPr>
        <w:t> </w:t>
      </w:r>
      <w:r>
        <w:rPr>
          <w:color w:val="6E6158"/>
        </w:rPr>
        <w:t>Bar</w:t>
      </w:r>
      <w:r>
        <w:rPr>
          <w:color w:val="6E6158"/>
          <w:spacing w:val="15"/>
        </w:rPr>
        <w:t> </w:t>
      </w:r>
      <w:r>
        <w:rPr>
          <w:color w:val="6E6158"/>
        </w:rPr>
        <w:t>Association – Tax Law Section, 2016 – 2023</w:t>
      </w:r>
    </w:p>
    <w:p>
      <w:pPr>
        <w:pStyle w:val="BodyText"/>
        <w:spacing w:line="292" w:lineRule="auto" w:before="1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223892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29297pt;width:1.65pt;height:1.65pt;mso-position-horizontal-relative:page;mso-position-vertical-relative:paragraph;z-index:15738368" id="docshape29" coordorigin="1670,353" coordsize="33,33" path="m1691,385l1682,385,1678,384,1671,377,1670,373,1670,364,1671,361,1678,354,1682,353,1691,353,1694,354,1701,361,1702,364,1702,369,1702,373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“An Introduction to the Taxation of Cryptocurrency,” Colorado Bar Association – Tax Law Section, March 2023</w:t>
      </w:r>
    </w:p>
    <w:p>
      <w:pPr>
        <w:pStyle w:val="BodyText"/>
        <w:spacing w:line="302" w:lineRule="auto"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236220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0058pt;width:1.65pt;height:1.65pt;mso-position-horizontal-relative:page;mso-position-vertical-relative:paragraph;z-index:15738880" id="docshape30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“Like-Kind Exchanges: Fundamentals and Advanced Practice,” Colorado </w:t>
      </w:r>
      <w:r>
        <w:rPr>
          <w:color w:val="6E6158"/>
        </w:rPr>
        <w:t>Bar Association, 2020</w:t>
      </w:r>
    </w:p>
    <w:p>
      <w:pPr>
        <w:pStyle w:val="BodyText"/>
        <w:spacing w:before="1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136085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715368pt;width:1.65pt;height:1.65pt;mso-position-horizontal-relative:page;mso-position-vertical-relative:paragraph;z-index:15739392" id="docshape31" coordorigin="1670,214" coordsize="33,33" path="m1691,247l1682,247,1678,245,1671,239,1670,235,1670,226,1671,222,1678,216,1682,214,1691,214,1694,216,1701,222,1702,226,1702,231,1702,235,1701,239,1694,245,1691,2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</w:t>
      </w:r>
      <w:r>
        <w:rPr>
          <w:color w:val="6E6158"/>
          <w:spacing w:val="12"/>
        </w:rPr>
        <w:t> </w:t>
      </w:r>
      <w:r>
        <w:rPr>
          <w:color w:val="6E6158"/>
        </w:rPr>
        <w:t>“Pass-Through</w:t>
      </w:r>
      <w:r>
        <w:rPr>
          <w:color w:val="6E6158"/>
          <w:spacing w:val="12"/>
        </w:rPr>
        <w:t> </w:t>
      </w:r>
      <w:r>
        <w:rPr>
          <w:color w:val="6E6158"/>
        </w:rPr>
        <w:t>Entities:</w:t>
      </w:r>
      <w:r>
        <w:rPr>
          <w:color w:val="6E6158"/>
          <w:spacing w:val="13"/>
        </w:rPr>
        <w:t> </w:t>
      </w:r>
      <w:r>
        <w:rPr>
          <w:color w:val="6E6158"/>
        </w:rPr>
        <w:t>Critical</w:t>
      </w:r>
      <w:r>
        <w:rPr>
          <w:color w:val="6E6158"/>
          <w:spacing w:val="12"/>
        </w:rPr>
        <w:t> </w:t>
      </w:r>
      <w:r>
        <w:rPr>
          <w:color w:val="6E6158"/>
        </w:rPr>
        <w:t>Operating</w:t>
      </w:r>
      <w:r>
        <w:rPr>
          <w:color w:val="6E6158"/>
          <w:spacing w:val="12"/>
        </w:rPr>
        <w:t> </w:t>
      </w:r>
      <w:r>
        <w:rPr>
          <w:color w:val="6E6158"/>
        </w:rPr>
        <w:t>Issues,”</w:t>
      </w:r>
      <w:r>
        <w:rPr>
          <w:color w:val="6E6158"/>
          <w:spacing w:val="13"/>
        </w:rPr>
        <w:t> </w:t>
      </w:r>
      <w:r>
        <w:rPr>
          <w:color w:val="6E6158"/>
        </w:rPr>
        <w:t>CPE4U,</w:t>
      </w:r>
      <w:r>
        <w:rPr>
          <w:color w:val="6E6158"/>
          <w:spacing w:val="12"/>
        </w:rPr>
        <w:t> </w:t>
      </w:r>
      <w:r>
        <w:rPr>
          <w:color w:val="6E6158"/>
        </w:rPr>
        <w:t>2017</w:t>
      </w:r>
      <w:r>
        <w:rPr>
          <w:color w:val="6E6158"/>
          <w:spacing w:val="13"/>
        </w:rPr>
        <w:t> </w:t>
      </w:r>
      <w:r>
        <w:rPr>
          <w:color w:val="6E6158"/>
        </w:rPr>
        <w:t>–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2020</w:t>
      </w:r>
    </w:p>
    <w:p>
      <w:pPr>
        <w:pStyle w:val="BodyText"/>
        <w:spacing w:line="302" w:lineRule="auto" w:before="174"/>
        <w:ind w:right="2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268416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35174pt;width:1.65pt;height:1.65pt;mso-position-horizontal-relative:page;mso-position-vertical-relative:paragraph;z-index:15739904" id="docshape32" coordorigin="1670,423" coordsize="33,33" path="m1691,455l1682,455,1678,454,1671,447,1670,443,1670,434,1671,431,1678,424,1682,423,1691,423,1694,424,1701,431,1702,434,1702,439,1702,443,1701,447,1694,454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“Tax Cuts and Jobs Act of 2017: Choice of Entity and Planning Considerations After Tax Reform,” Business Law Institute, 2018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224375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67339pt;width:1.65pt;height:1.65pt;mso-position-horizontal-relative:page;mso-position-vertical-relative:paragraph;z-index:15740416" id="docshape33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“2017 TCJA: In-Depth Look at Taxation of Pass-Through Entities,” Colorado Bar Association, 2018</w:t>
      </w:r>
    </w:p>
    <w:p>
      <w:pPr>
        <w:pStyle w:val="Heading1"/>
        <w:spacing w:before="285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157611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0326pt;width:1.65pt;height:1.65pt;mso-position-horizontal-relative:page;mso-position-vertical-relative:paragraph;z-index:15740928" id="docshape34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American</w:t>
      </w:r>
      <w:r>
        <w:rPr>
          <w:color w:val="6E6158"/>
          <w:spacing w:val="13"/>
        </w:rPr>
        <w:t> </w:t>
      </w:r>
      <w:r>
        <w:rPr>
          <w:color w:val="6E6158"/>
        </w:rPr>
        <w:t>Bar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line="420" w:lineRule="auto" w:before="182"/>
        <w:ind w:right="388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175341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6388pt;width:1.65pt;height:1.65pt;mso-position-horizontal-relative:page;mso-position-vertical-relative:paragraph;z-index:15741440" id="docshape35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438873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557003pt;width:1.65pt;height:1.65pt;mso-position-horizontal-relative:page;mso-position-vertical-relative:paragraph;z-index:15741952" id="docshape36" coordorigin="1670,691" coordsize="33,33" path="m1691,724l1682,724,1678,722,1671,716,1670,712,1670,703,1671,699,1678,693,1682,691,1691,691,1694,693,1701,699,1702,703,1702,707,1702,712,1701,716,1694,722,1691,72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American Institute of Certified Public </w:t>
      </w:r>
      <w:r>
        <w:rPr>
          <w:color w:val="6E6158"/>
        </w:rPr>
        <w:t>Accountants Board of Governors, Colorado Bar Association</w:t>
      </w:r>
    </w:p>
    <w:p>
      <w:pPr>
        <w:pStyle w:val="BodyText"/>
        <w:spacing w:line="420" w:lineRule="auto"/>
        <w:ind w:right="21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63928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3779pt;width:1.65pt;height:1.65pt;mso-position-horizontal-relative:page;mso-position-vertical-relative:paragraph;z-index:15742464" id="docshape37" coordorigin="1670,101" coordsize="33,33" path="m1691,133l1682,133,1678,132,1671,125,1670,121,1670,112,1671,109,1678,102,1682,101,1691,101,1694,102,1701,109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322294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77522pt;width:1.65pt;height:1.65pt;mso-position-horizontal-relative:page;mso-position-vertical-relative:paragraph;z-index:15742976" id="docshape38" coordorigin="1670,508" coordsize="33,33" path="m1691,540l1682,540,1678,539,1671,532,1670,528,1670,519,1671,515,1678,509,1682,508,1691,508,1694,509,1701,515,1702,519,1702,524,1702,528,1701,532,1694,539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Colorado Bar Association, Tax Section, Executive Council </w:t>
      </w:r>
      <w:r>
        <w:rPr>
          <w:color w:val="6E6158"/>
        </w:rPr>
        <w:t>Member Colorado Society of Certified Public Accountants</w:t>
      </w:r>
    </w:p>
    <w:p>
      <w:pPr>
        <w:pStyle w:val="BodyText"/>
        <w:spacing w:line="420" w:lineRule="auto" w:before="5"/>
        <w:ind w:right="147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62919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54321pt;width:1.65pt;height:1.65pt;mso-position-horizontal-relative:page;mso-position-vertical-relative:paragraph;z-index:15743488" id="docshape39" coordorigin="1670,99" coordsize="33,33" path="m1691,132l1682,132,1678,130,1671,124,1670,120,1670,111,1671,107,1678,101,1682,99,1691,99,1694,101,1701,107,1702,111,1702,115,1702,120,1701,124,1694,130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326452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704889pt;width:1.65pt;height:1.65pt;mso-position-horizontal-relative:page;mso-position-vertical-relative:paragraph;z-index:15744000" id="docshape40" coordorigin="1670,514" coordsize="33,33" path="m1691,547l1682,547,1678,545,1671,539,1670,535,1670,526,1671,522,1678,516,1682,514,1691,514,1694,516,1701,522,1702,526,1702,530,1702,535,1701,539,1694,545,1691,5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Denver Bar Association, Young Lawyers Division, Executive Council </w:t>
      </w:r>
      <w:r>
        <w:rPr>
          <w:color w:val="6E6158"/>
        </w:rPr>
        <w:t>Member Former Certified Public Accountant, Colorado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63902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1664pt;width:1.65pt;height:1.65pt;mso-position-horizontal-relative:page;mso-position-vertical-relative:paragraph;z-index:15744512" id="docshape41" coordorigin="1670,101" coordsize="33,33" path="m1691,133l1682,133,1678,132,1671,125,1670,121,1670,112,1671,109,1678,102,1682,101,1691,101,1694,102,1701,109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Chair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Advisory</w:t>
      </w:r>
      <w:r>
        <w:rPr>
          <w:color w:val="6E6158"/>
          <w:spacing w:val="11"/>
        </w:rPr>
        <w:t> </w:t>
      </w:r>
      <w:r>
        <w:rPr>
          <w:color w:val="6E6158"/>
        </w:rPr>
        <w:t>Board,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Colorado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Lawyer</w:t>
      </w:r>
    </w:p>
    <w:p>
      <w:pPr>
        <w:pStyle w:val="BodyText"/>
        <w:spacing w:before="49"/>
        <w:ind w:left="0"/>
        <w:rPr>
          <w:sz w:val="24"/>
        </w:rPr>
      </w:pPr>
    </w:p>
    <w:p>
      <w:pPr>
        <w:pStyle w:val="Heading1"/>
        <w:ind w:left="62" w:right="7746"/>
        <w:jc w:val="center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  <w:ind w:left="0" w:right="7746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152910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40203pt;width:1.65pt;height:1.65pt;mso-position-horizontal-relative:page;mso-position-vertical-relative:paragraph;z-index:15745024" id="docshape42" coordorigin="1670,241" coordsize="33,33" path="m1691,273l1682,273,1678,272,1671,265,1670,262,1670,253,1671,249,1678,242,1682,241,1691,241,1694,242,1701,249,1702,253,1702,257,1702,262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Colorado</w:t>
      </w:r>
    </w:p>
    <w:p>
      <w:pPr>
        <w:pStyle w:val="BodyText"/>
        <w:spacing w:after="0"/>
        <w:jc w:val="center"/>
        <w:sectPr>
          <w:pgSz w:w="12240" w:h="15840"/>
          <w:pgMar w:top="500" w:bottom="280" w:left="1440" w:right="144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45536" id="docshape43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United</w:t>
      </w:r>
      <w:r>
        <w:rPr>
          <w:color w:val="6E6158"/>
          <w:spacing w:val="11"/>
        </w:rPr>
        <w:t> </w:t>
      </w:r>
      <w:r>
        <w:rPr>
          <w:color w:val="6E6158"/>
        </w:rPr>
        <w:t>States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Colorado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mailto:clevkulich@fennemorelaw.com" TargetMode="External"/><Relationship Id="rId11" Type="http://schemas.openxmlformats.org/officeDocument/2006/relationships/hyperlink" Target="https://www.fennemorelaw.com/fennemore-represents-the-cfo-project-in-significant-business-sale/" TargetMode="External"/><Relationship Id="rId12" Type="http://schemas.openxmlformats.org/officeDocument/2006/relationships/hyperlink" Target="https://www.fennemorelaw.com/fennemore-represents-argus-professional-storage-management-in-a-significant-contribution-agreement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 Levkulich - Fennemore</dc:title>
  <dcterms:created xsi:type="dcterms:W3CDTF">2025-12-11T01:59:39Z</dcterms:created>
  <dcterms:modified xsi:type="dcterms:W3CDTF">2025-12-11T01:59:39Z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2025-12-11T00:00:00Z</vt:filetime>
  </property>
  <property fmtid="{D5CDD505-2E9C-101B-9397-08002B2CF9AE}" pid="5" name="Producer">
    <vt:lpwstr>Skia/PDF m142</vt:lpwstr>
  </property>
</Properties>
</file>