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-4506857</wp:posOffset>
                </wp:positionV>
                <wp:extent cx="6071870" cy="4366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28139">
                                <a:moveTo>
                                  <a:pt x="6071591" y="1627703"/>
                                </a:moveTo>
                                <a:lnTo>
                                  <a:pt x="0" y="162770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2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89549" y="880542"/>
                            <a:ext cx="27051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Labor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2995" y="1585517"/>
                            <a:ext cx="481838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practicing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labor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relations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area advise and defend management in virtually all aspects of the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1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relationship.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1428" y="3151454"/>
                            <a:ext cx="460502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proudly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employers.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mining,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utility,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gaming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firms,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benefit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significant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corporate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resources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professionals,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programs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designed to improve and define employment relationships, reduce the likelihood that disputes will</w:t>
                              </w:r>
                            </w:p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defend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claims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4.870697pt;width:478.1pt;height:343.85pt;mso-position-horizontal-relative:page;mso-position-vertical-relative:paragraph;z-index:15728640" id="docshapegroup1" coordorigin="1336,-7097" coordsize="9562,6877">
                <v:rect style="position:absolute;left:1336;top:-2785;width:9562;height:2564" id="docshape2" filled="true" fillcolor="#002e6d" stroked="false">
                  <v:fill type="solid"/>
                </v:rect>
                <v:shape style="position:absolute;left:1336;top:-7098;width:2165;height:424" type="#_x0000_t75" id="docshape3" alt="Fennemore" href="https://www.fennemorelaw.com/" stroked="false">
                  <v:imagedata r:id="rId5" o:title=""/>
                </v:shape>
                <v:shape style="position:absolute;left:1336;top:-6675;width:9562;height:3890" type="#_x0000_t75" id="docshape4" stroked="false">
                  <v:imagedata r:id="rId7" o:title=""/>
                </v:shape>
                <v:rect style="position:absolute;left:1336;top:-6675;width:9562;height:3890" id="docshape5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96;top:-5711;width:4260;height:514" type="#_x0000_t202" id="docshape6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Labor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Employment</w:t>
                        </w:r>
                      </w:p>
                    </w:txbxContent>
                  </v:textbox>
                  <w10:wrap type="none"/>
                </v:shape>
                <v:shape style="position:absolute;left:2333;top:-4601;width:7588;height:825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labor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relations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area advise and defend management in virtually all aspects of the</w:t>
                        </w:r>
                      </w:p>
                      <w:p>
                        <w:pPr>
                          <w:spacing w:line="259" w:lineRule="exact" w:before="0"/>
                          <w:ind w:left="1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relationship.</w:t>
                        </w:r>
                      </w:p>
                    </w:txbxContent>
                  </v:textbox>
                  <w10:wrap type="none"/>
                </v:shape>
                <v:shape style="position:absolute;left:2503;top:-2135;width:7252;height:1339" type="#_x0000_t202" id="docshape8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proudly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employers.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large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mining,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utility,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gaming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to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firms,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benefit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significant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corporate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human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resources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professionals,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programs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designed to improve and define employment relationships, reduce the likelihood that disputes will</w:t>
                        </w:r>
                      </w:p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defend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claims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141"/>
        <w:rPr>
          <w:b/>
          <w:sz w:val="16"/>
        </w:rPr>
      </w:pPr>
    </w:p>
    <w:p>
      <w:pPr>
        <w:spacing w:line="218" w:lineRule="auto" w:before="0"/>
        <w:ind w:left="3167" w:right="28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-30766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3167" w:right="286" w:firstLine="0"/>
        <w:jc w:val="left"/>
        <w:rPr>
          <w:b/>
          <w:sz w:val="16"/>
        </w:rPr>
      </w:pPr>
      <w:hyperlink r:id="rId10">
        <w:r>
          <w:rPr>
            <w:b/>
            <w:sz w:val="16"/>
          </w:rPr>
          <w:t>Janice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Procter-</w:t>
        </w:r>
      </w:hyperlink>
      <w:hyperlink r:id="rId10">
        <w:r>
          <w:rPr>
            <w:b/>
            <w:spacing w:val="-2"/>
            <w:sz w:val="16"/>
          </w:rPr>
          <w:t>Murphy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1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602.916.5331</w:t>
      </w:r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602.916.5531</w:t>
      </w:r>
    </w:p>
    <w:p>
      <w:pPr>
        <w:spacing w:line="266" w:lineRule="auto" w:before="15"/>
        <w:ind w:left="3167" w:right="286" w:firstLine="0"/>
        <w:jc w:val="left"/>
        <w:rPr>
          <w:sz w:val="12"/>
        </w:rPr>
      </w:pPr>
      <w:hyperlink r:id="rId12">
        <w:r>
          <w:rPr>
            <w:color w:val="002E6B"/>
            <w:spacing w:val="-2"/>
            <w:sz w:val="12"/>
          </w:rPr>
          <w:t>jp</w:t>
        </w:r>
        <w:r>
          <w:rPr>
            <w:color w:val="002E6B"/>
            <w:spacing w:val="-2"/>
            <w:sz w:val="12"/>
            <w:u w:val="single" w:color="002E6B"/>
          </w:rPr>
          <w:t>murphy@fennemorel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2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0"/>
        </w:rPr>
      </w:pPr>
    </w:p>
    <w:p>
      <w:pPr>
        <w:spacing w:line="240" w:lineRule="auto"/>
        <w:ind w:left="29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303" w:right="539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B.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Schmoyer</w:t>
        </w:r>
      </w:hyperlink>
    </w:p>
    <w:p>
      <w:pPr>
        <w:spacing w:line="144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Co-Vice</w:t>
      </w:r>
      <w:r>
        <w:rPr>
          <w:color w:val="6E6158"/>
          <w:spacing w:val="4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Antonio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210.447.8033</w:t>
      </w:r>
    </w:p>
    <w:p>
      <w:pPr>
        <w:spacing w:before="15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210.447.8036</w:t>
      </w:r>
    </w:p>
    <w:p>
      <w:pPr>
        <w:spacing w:line="266" w:lineRule="auto" w:before="16"/>
        <w:ind w:left="303" w:right="539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sschmoyer@fennemor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218" w:lineRule="auto" w:before="118"/>
        <w:ind w:left="297" w:right="8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297" w:right="8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297" w:right="243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S.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Pierce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20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775.788.2260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775.788.2279</w:t>
      </w:r>
    </w:p>
    <w:p>
      <w:pPr>
        <w:spacing w:line="266" w:lineRule="auto" w:before="16"/>
        <w:ind w:left="297" w:right="243" w:firstLine="0"/>
        <w:jc w:val="left"/>
        <w:rPr>
          <w:sz w:val="12"/>
        </w:rPr>
      </w:pPr>
      <w:hyperlink r:id="rId21">
        <w:r>
          <w:rPr>
            <w:color w:val="002E6B"/>
            <w:spacing w:val="-2"/>
            <w:sz w:val="12"/>
            <w:u w:val="single" w:color="002E6B"/>
          </w:rPr>
          <w:t>spierce@fennemorela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1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3" w:equalWidth="0">
            <w:col w:w="5154" w:space="40"/>
            <w:col w:w="2296" w:space="39"/>
            <w:col w:w="1831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Our team takes a proactive and practical approach when representing our clients in labor and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24"/>
        </w:rPr>
        <w:t> </w:t>
      </w:r>
      <w:r>
        <w:rPr>
          <w:color w:val="6E6158"/>
        </w:rPr>
        <w:t>relations</w:t>
      </w:r>
      <w:r>
        <w:rPr>
          <w:color w:val="6E6158"/>
          <w:spacing w:val="24"/>
        </w:rPr>
        <w:t> </w:t>
      </w:r>
      <w:r>
        <w:rPr>
          <w:color w:val="6E6158"/>
        </w:rPr>
        <w:t>matters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court,</w:t>
      </w:r>
      <w:r>
        <w:rPr>
          <w:color w:val="6E6158"/>
          <w:spacing w:val="24"/>
        </w:rPr>
        <w:t> </w:t>
      </w:r>
      <w:r>
        <w:rPr>
          <w:color w:val="6E6158"/>
        </w:rPr>
        <w:t>before</w:t>
      </w:r>
      <w:r>
        <w:rPr>
          <w:color w:val="6E6158"/>
          <w:spacing w:val="24"/>
        </w:rPr>
        <w:t> </w:t>
      </w:r>
      <w:r>
        <w:rPr>
          <w:color w:val="6E6158"/>
        </w:rPr>
        <w:t>various</w:t>
      </w:r>
      <w:r>
        <w:rPr>
          <w:color w:val="6E6158"/>
          <w:spacing w:val="24"/>
        </w:rPr>
        <w:t> </w:t>
      </w:r>
      <w:r>
        <w:rPr>
          <w:color w:val="6E6158"/>
        </w:rPr>
        <w:t>administrative</w:t>
      </w:r>
      <w:r>
        <w:rPr>
          <w:color w:val="6E6158"/>
          <w:spacing w:val="24"/>
        </w:rPr>
        <w:t> </w:t>
      </w:r>
      <w:r>
        <w:rPr>
          <w:color w:val="6E6158"/>
        </w:rPr>
        <w:t>agencies,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when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advising on day-to-day personnel matters. Our team possesses a wealth of experience serving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diverse range of clients, from sole proprietors to large corporations.</w:t>
      </w:r>
    </w:p>
    <w:p>
      <w:pPr>
        <w:pStyle w:val="Heading1"/>
        <w:spacing w:before="171"/>
      </w:pPr>
      <w:r>
        <w:rPr>
          <w:color w:val="FF8100"/>
        </w:rPr>
        <w:t>COUNSELING,</w:t>
      </w:r>
      <w:r>
        <w:rPr>
          <w:color w:val="FF8100"/>
          <w:spacing w:val="13"/>
        </w:rPr>
        <w:t> </w:t>
      </w:r>
      <w:r>
        <w:rPr>
          <w:color w:val="FF8100"/>
        </w:rPr>
        <w:t>COMPLIANCE</w:t>
      </w:r>
      <w:r>
        <w:rPr>
          <w:color w:val="FF8100"/>
          <w:spacing w:val="13"/>
        </w:rPr>
        <w:t> </w:t>
      </w:r>
      <w:r>
        <w:rPr>
          <w:color w:val="FF8100"/>
        </w:rPr>
        <w:t>&amp;</w:t>
      </w:r>
      <w:r>
        <w:rPr>
          <w:color w:val="FF8100"/>
          <w:spacing w:val="13"/>
        </w:rPr>
        <w:t> </w:t>
      </w:r>
      <w:r>
        <w:rPr>
          <w:color w:val="FF8100"/>
        </w:rPr>
        <w:t>WORKFORCE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TRAINING</w:t>
      </w:r>
    </w:p>
    <w:p>
      <w:pPr>
        <w:pStyle w:val="BodyText"/>
        <w:spacing w:line="292" w:lineRule="auto" w:before="147"/>
        <w:ind w:left="99" w:right="211"/>
      </w:pPr>
      <w:r>
        <w:rPr>
          <w:color w:val="6E6158"/>
        </w:rPr>
        <w:t>Our team regularly advises employers on Title VII, § 1981,</w:t>
      </w:r>
      <w:r>
        <w:rPr>
          <w:color w:val="6E6158"/>
          <w:spacing w:val="80"/>
        </w:rPr>
        <w:t> </w:t>
      </w:r>
      <w:r>
        <w:rPr>
          <w:color w:val="6E6158"/>
        </w:rPr>
        <w:t>Equal Pay Act (EPA), Fair Labor Standards Act (FLSA), Worker Adjustment and Retraining Notification Act (WARN), Family </w:t>
      </w:r>
      <w:r>
        <w:rPr>
          <w:color w:val="6E6158"/>
        </w:rPr>
        <w:t>and Medical</w:t>
      </w:r>
      <w:r>
        <w:rPr>
          <w:color w:val="6E6158"/>
          <w:spacing w:val="34"/>
        </w:rPr>
        <w:t> </w:t>
      </w:r>
      <w:r>
        <w:rPr>
          <w:color w:val="6E6158"/>
        </w:rPr>
        <w:t>Leave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(FMLA),</w:t>
      </w:r>
      <w:r>
        <w:rPr>
          <w:color w:val="6E6158"/>
          <w:spacing w:val="34"/>
        </w:rPr>
        <w:t> </w:t>
      </w:r>
      <w:r>
        <w:rPr>
          <w:color w:val="6E6158"/>
        </w:rPr>
        <w:t>Pregnancy</w:t>
      </w:r>
      <w:r>
        <w:rPr>
          <w:color w:val="6E6158"/>
          <w:spacing w:val="34"/>
        </w:rPr>
        <w:t> </w:t>
      </w:r>
      <w:r>
        <w:rPr>
          <w:color w:val="6E6158"/>
        </w:rPr>
        <w:t>Discrimination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(PDA),</w:t>
      </w:r>
      <w:r>
        <w:rPr>
          <w:color w:val="6E6158"/>
          <w:spacing w:val="34"/>
        </w:rPr>
        <w:t> </w:t>
      </w:r>
      <w:r>
        <w:rPr>
          <w:color w:val="6E6158"/>
        </w:rPr>
        <w:t>Fair</w:t>
      </w:r>
      <w:r>
        <w:rPr>
          <w:color w:val="6E6158"/>
          <w:spacing w:val="34"/>
        </w:rPr>
        <w:t> </w:t>
      </w:r>
      <w:r>
        <w:rPr>
          <w:color w:val="6E6158"/>
        </w:rPr>
        <w:t>Credit</w:t>
      </w:r>
      <w:r>
        <w:rPr>
          <w:color w:val="6E6158"/>
          <w:spacing w:val="34"/>
        </w:rPr>
        <w:t> </w:t>
      </w:r>
      <w:r>
        <w:rPr>
          <w:color w:val="6E6158"/>
        </w:rPr>
        <w:t>Reporting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</w:p>
    <w:p>
      <w:pPr>
        <w:pStyle w:val="BodyText"/>
        <w:spacing w:line="295" w:lineRule="auto" w:before="1"/>
        <w:ind w:left="99" w:right="195"/>
      </w:pPr>
      <w:r>
        <w:rPr>
          <w:color w:val="6E6158"/>
        </w:rPr>
        <w:t>(FCRA), National Labor Relations Act (NLRA), Pregnant Workers Fairness Act (PWFA), Americans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Disabilities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(ADA),</w:t>
      </w:r>
      <w:r>
        <w:rPr>
          <w:color w:val="6E6158"/>
          <w:spacing w:val="40"/>
        </w:rPr>
        <w:t> </w:t>
      </w:r>
      <w:r>
        <w:rPr>
          <w:color w:val="6E6158"/>
        </w:rPr>
        <w:t>Consolidated</w:t>
      </w:r>
      <w:r>
        <w:rPr>
          <w:color w:val="6E6158"/>
          <w:spacing w:val="40"/>
        </w:rPr>
        <w:t> </w:t>
      </w:r>
      <w:r>
        <w:rPr>
          <w:color w:val="6E6158"/>
        </w:rPr>
        <w:t>Omnibus</w:t>
      </w:r>
      <w:r>
        <w:rPr>
          <w:color w:val="6E6158"/>
          <w:spacing w:val="40"/>
        </w:rPr>
        <w:t> </w:t>
      </w:r>
      <w:r>
        <w:rPr>
          <w:color w:val="6E6158"/>
        </w:rPr>
        <w:t>Budget</w:t>
      </w:r>
      <w:r>
        <w:rPr>
          <w:color w:val="6E6158"/>
          <w:spacing w:val="40"/>
        </w:rPr>
        <w:t> </w:t>
      </w:r>
      <w:r>
        <w:rPr>
          <w:color w:val="6E6158"/>
        </w:rPr>
        <w:t>Reconciliation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(COBRA), </w:t>
      </w:r>
      <w:hyperlink r:id="rId22">
        <w:r>
          <w:rPr>
            <w:color w:val="F5821F"/>
          </w:rPr>
          <w:t>Employee Retirement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Income Security Act (</w:t>
        </w:r>
      </w:hyperlink>
      <w:hyperlink r:id="rId22">
        <w:r>
          <w:rPr>
            <w:color w:val="F5821F"/>
          </w:rPr>
          <w:t>ERISA</w:t>
        </w:r>
      </w:hyperlink>
      <w:r>
        <w:rPr>
          <w:color w:val="6E6158"/>
        </w:rPr>
        <w:t>), USERRA and Military Leave Laws, drug </w:t>
      </w:r>
      <w:r>
        <w:rPr>
          <w:color w:val="6E6158"/>
        </w:rPr>
        <w:t>testing</w:t>
      </w:r>
      <w:r>
        <w:rPr>
          <w:color w:val="6E6158"/>
          <w:spacing w:val="40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Medical</w:t>
      </w:r>
      <w:r>
        <w:rPr>
          <w:color w:val="6E6158"/>
          <w:spacing w:val="34"/>
        </w:rPr>
        <w:t> </w:t>
      </w:r>
      <w:r>
        <w:rPr>
          <w:color w:val="6E6158"/>
        </w:rPr>
        <w:t>Marijuana</w:t>
      </w:r>
      <w:r>
        <w:rPr>
          <w:color w:val="6E6158"/>
          <w:spacing w:val="34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Unemployment</w:t>
      </w:r>
      <w:r>
        <w:rPr>
          <w:color w:val="6E6158"/>
          <w:spacing w:val="34"/>
        </w:rPr>
        <w:t> </w:t>
      </w:r>
      <w:r>
        <w:rPr>
          <w:color w:val="6E6158"/>
        </w:rPr>
        <w:t>Compensation,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civil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laws.</w:t>
      </w:r>
    </w:p>
    <w:p>
      <w:pPr>
        <w:pStyle w:val="BodyText"/>
        <w:spacing w:line="297" w:lineRule="auto" w:before="197"/>
        <w:ind w:left="99" w:right="195"/>
      </w:pPr>
      <w:r>
        <w:rPr>
          <w:color w:val="6E6158"/>
        </w:rPr>
        <w:t>We proactively train management on how to prevent workplace problems and help create a</w:t>
      </w:r>
      <w:r>
        <w:rPr>
          <w:color w:val="6E6158"/>
          <w:spacing w:val="40"/>
        </w:rPr>
        <w:t> </w:t>
      </w:r>
      <w:r>
        <w:rPr>
          <w:color w:val="6E6158"/>
        </w:rPr>
        <w:t>productive workforce. Working closely with our clients, we develop cutting-edge employment</w:t>
      </w:r>
      <w:r>
        <w:rPr>
          <w:color w:val="6E6158"/>
          <w:spacing w:val="40"/>
        </w:rPr>
        <w:t> </w:t>
      </w:r>
      <w:r>
        <w:rPr>
          <w:color w:val="6E6158"/>
        </w:rPr>
        <w:t>policies, employee handbooks, and agreements. We guide employers in wage and hour audits</w:t>
      </w:r>
      <w:r>
        <w:rPr>
          <w:color w:val="6E6158"/>
          <w:spacing w:val="40"/>
        </w:rPr>
        <w:t> </w:t>
      </w:r>
      <w:r>
        <w:rPr>
          <w:color w:val="6E6158"/>
        </w:rPr>
        <w:t>and labor disputes. We help shut down class actions before they begin. We offer training and education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harassment,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medical</w:t>
      </w:r>
      <w:r>
        <w:rPr>
          <w:color w:val="6E6158"/>
          <w:spacing w:val="40"/>
        </w:rPr>
        <w:t> </w:t>
      </w:r>
      <w:r>
        <w:rPr>
          <w:color w:val="6E6158"/>
        </w:rPr>
        <w:t>leaves, creating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performance</w:t>
      </w:r>
      <w:r>
        <w:rPr>
          <w:color w:val="6E6158"/>
          <w:spacing w:val="36"/>
        </w:rPr>
        <w:t> </w:t>
      </w:r>
      <w:r>
        <w:rPr>
          <w:color w:val="6E6158"/>
        </w:rPr>
        <w:t>evaluations,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personnel</w:t>
      </w:r>
      <w:r>
        <w:rPr>
          <w:color w:val="6E6158"/>
          <w:spacing w:val="36"/>
        </w:rPr>
        <w:t> </w:t>
      </w:r>
      <w:r>
        <w:rPr>
          <w:color w:val="6E6158"/>
        </w:rPr>
        <w:t>issues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order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minimize</w:t>
      </w:r>
    </w:p>
    <w:p>
      <w:pPr>
        <w:pStyle w:val="BodyText"/>
        <w:spacing w:line="297" w:lineRule="auto"/>
        <w:ind w:left="99" w:right="211"/>
      </w:pPr>
      <w:r>
        <w:rPr>
          <w:color w:val="6E6158"/>
        </w:rPr>
        <w:t>liability exposure. These, combined with providing proactive counsel on day-to-day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avoid</w:t>
      </w:r>
      <w:r>
        <w:rPr>
          <w:color w:val="6E6158"/>
          <w:spacing w:val="29"/>
        </w:rPr>
        <w:t> </w:t>
      </w:r>
      <w:r>
        <w:rPr>
          <w:color w:val="6E6158"/>
        </w:rPr>
        <w:t>costly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But</w:t>
      </w:r>
      <w:r>
        <w:rPr>
          <w:color w:val="6E6158"/>
          <w:spacing w:val="29"/>
        </w:rPr>
        <w:t> </w:t>
      </w:r>
      <w:r>
        <w:rPr>
          <w:color w:val="6E6158"/>
        </w:rPr>
        <w:t>when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unavoidable,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drives</w:t>
      </w:r>
      <w:r>
        <w:rPr>
          <w:color w:val="6E6158"/>
          <w:spacing w:val="29"/>
        </w:rPr>
        <w:t> </w:t>
      </w:r>
      <w:r>
        <w:rPr>
          <w:color w:val="6E6158"/>
        </w:rPr>
        <w:t>the litigation</w:t>
      </w:r>
      <w:r>
        <w:rPr>
          <w:color w:val="6E6158"/>
          <w:spacing w:val="32"/>
        </w:rPr>
        <w:t> </w:t>
      </w:r>
      <w:r>
        <w:rPr>
          <w:color w:val="6E6158"/>
        </w:rPr>
        <w:t>process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goal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winning</w:t>
      </w:r>
      <w:r>
        <w:rPr>
          <w:color w:val="6E6158"/>
          <w:spacing w:val="32"/>
        </w:rPr>
        <w:t> </w:t>
      </w:r>
      <w:r>
        <w:rPr>
          <w:color w:val="6E6158"/>
        </w:rPr>
        <w:t>dispositive</w:t>
      </w:r>
      <w:r>
        <w:rPr>
          <w:color w:val="6E6158"/>
          <w:spacing w:val="32"/>
        </w:rPr>
        <w:t> </w:t>
      </w:r>
      <w:r>
        <w:rPr>
          <w:color w:val="6E6158"/>
        </w:rPr>
        <w:t>motions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defense</w:t>
      </w:r>
      <w:r>
        <w:rPr>
          <w:color w:val="6E6158"/>
          <w:spacing w:val="32"/>
        </w:rPr>
        <w:t> </w:t>
      </w:r>
      <w:r>
        <w:rPr>
          <w:color w:val="6E6158"/>
        </w:rPr>
        <w:t>verdicts.</w:t>
      </w:r>
    </w:p>
    <w:p>
      <w:pPr>
        <w:pStyle w:val="BodyText"/>
        <w:spacing w:line="292" w:lineRule="auto"/>
        <w:ind w:left="99" w:right="259"/>
      </w:pPr>
      <w:r>
        <w:rPr>
          <w:color w:val="6E6158"/>
        </w:rPr>
        <w:t>Because of our extensive courtroom experience, we are able to provide “trial-tested </w:t>
      </w:r>
      <w:r>
        <w:rPr>
          <w:color w:val="6E6158"/>
        </w:rPr>
        <w:t>advice”</w:t>
      </w:r>
      <w:r>
        <w:rPr>
          <w:color w:val="6E6158"/>
          <w:spacing w:val="40"/>
        </w:rPr>
        <w:t> </w:t>
      </w:r>
      <w:r>
        <w:rPr>
          <w:color w:val="6E6158"/>
        </w:rPr>
        <w:t>when we counsel employers.</w:t>
      </w:r>
    </w:p>
    <w:p>
      <w:pPr>
        <w:pStyle w:val="Heading1"/>
        <w:spacing w:before="150"/>
      </w:pPr>
      <w:r>
        <w:rPr>
          <w:color w:val="FF8100"/>
        </w:rPr>
        <w:t>EMPLOYEE</w:t>
      </w:r>
      <w:r>
        <w:rPr>
          <w:color w:val="FF8100"/>
          <w:spacing w:val="11"/>
        </w:rPr>
        <w:t> </w:t>
      </w:r>
      <w:r>
        <w:rPr>
          <w:color w:val="FF8100"/>
        </w:rPr>
        <w:t>BENEFITS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55"/>
        <w:ind w:left="99"/>
      </w:pPr>
      <w:r>
        <w:rPr>
          <w:color w:val="6E6158"/>
        </w:rPr>
        <w:t>Our team has extensive experience counseling employers on all aspects of the </w:t>
      </w:r>
      <w:r>
        <w:rPr>
          <w:color w:val="6E6158"/>
        </w:rPr>
        <w:t>design, 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operation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qualified</w:t>
      </w:r>
      <w:r>
        <w:rPr>
          <w:color w:val="6E6158"/>
          <w:spacing w:val="40"/>
        </w:rPr>
        <w:t> </w:t>
      </w:r>
      <w:r>
        <w:rPr>
          <w:color w:val="6E6158"/>
        </w:rPr>
        <w:t>retirement,</w:t>
      </w:r>
      <w:r>
        <w:rPr>
          <w:color w:val="6E6158"/>
          <w:spacing w:val="40"/>
        </w:rPr>
        <w:t> </w:t>
      </w:r>
      <w:r>
        <w:rPr>
          <w:color w:val="6E6158"/>
        </w:rPr>
        <w:t>profit</w:t>
      </w:r>
      <w:r>
        <w:rPr>
          <w:color w:val="6E6158"/>
          <w:spacing w:val="40"/>
        </w:rPr>
        <w:t> </w:t>
      </w:r>
      <w:r>
        <w:rPr>
          <w:color w:val="6E6158"/>
        </w:rPr>
        <w:t>sharing,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</w:p>
    <w:p>
      <w:pPr>
        <w:pStyle w:val="BodyText"/>
        <w:spacing w:before="1"/>
        <w:ind w:left="99"/>
      </w:pPr>
      <w:r>
        <w:rPr>
          <w:color w:val="6E6158"/>
        </w:rPr>
        <w:t>compensation</w:t>
      </w:r>
      <w:r>
        <w:rPr>
          <w:color w:val="6E6158"/>
          <w:spacing w:val="15"/>
        </w:rPr>
        <w:t> </w:t>
      </w:r>
      <w:r>
        <w:rPr>
          <w:color w:val="6E6158"/>
        </w:rPr>
        <w:t>plans,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stock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</w:rPr>
        <w:t>plans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401(k)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savings</w:t>
      </w:r>
    </w:p>
    <w:p>
      <w:pPr>
        <w:pStyle w:val="BodyText"/>
        <w:spacing w:line="297" w:lineRule="auto" w:before="52"/>
        <w:ind w:left="99" w:right="335"/>
        <w:jc w:val="both"/>
      </w:pPr>
      <w:r>
        <w:rPr>
          <w:color w:val="6E6158"/>
        </w:rPr>
        <w:t>plans. We routinely represent employers on qualified plan matters before the Internal Revenue Service, the Department of Labor, and the Pension Benefit Guaranty Corporation. We regularly advise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fiduciary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prohibited</w:t>
      </w:r>
      <w:r>
        <w:rPr>
          <w:color w:val="6E6158"/>
          <w:spacing w:val="15"/>
        </w:rPr>
        <w:t> </w:t>
      </w:r>
      <w:r>
        <w:rPr>
          <w:color w:val="6E6158"/>
        </w:rPr>
        <w:t>transaction</w:t>
      </w:r>
      <w:r>
        <w:rPr>
          <w:color w:val="6E6158"/>
          <w:spacing w:val="16"/>
        </w:rPr>
        <w:t> </w:t>
      </w:r>
      <w:r>
        <w:rPr>
          <w:color w:val="6E6158"/>
        </w:rPr>
        <w:t>issues,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implications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/>
        <w:ind w:left="99" w:right="106"/>
        <w:jc w:val="both"/>
      </w:pPr>
      <w:r>
        <w:rPr>
          <w:color w:val="6E6158"/>
        </w:rPr>
        <w:t>liabilities involved with participation in multi-employer union pension plans. We also advise clients</w:t>
      </w:r>
      <w:r>
        <w:rPr>
          <w:color w:val="6E6158"/>
          <w:spacing w:val="40"/>
        </w:rPr>
        <w:t> </w:t>
      </w:r>
      <w:r>
        <w:rPr>
          <w:color w:val="6E6158"/>
        </w:rPr>
        <w:t>on the tax implications and laws governing the provision of medical benefits, disability </w:t>
      </w:r>
      <w:r>
        <w:rPr>
          <w:color w:val="6E6158"/>
        </w:rPr>
        <w:t>coverage, ERISA,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life</w:t>
      </w:r>
      <w:r>
        <w:rPr>
          <w:color w:val="6E6158"/>
          <w:spacing w:val="35"/>
        </w:rPr>
        <w:t> </w:t>
      </w:r>
      <w:r>
        <w:rPr>
          <w:color w:val="6E6158"/>
        </w:rPr>
        <w:t>insurance,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employers’</w:t>
      </w:r>
      <w:r>
        <w:rPr>
          <w:color w:val="6E6158"/>
          <w:spacing w:val="35"/>
        </w:rPr>
        <w:t> </w:t>
      </w:r>
      <w:r>
        <w:rPr>
          <w:color w:val="6E6158"/>
        </w:rPr>
        <w:t>liability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continuation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COBRA.</w:t>
      </w:r>
    </w:p>
    <w:p>
      <w:pPr>
        <w:pStyle w:val="Heading1"/>
        <w:spacing w:before="209"/>
      </w:pPr>
      <w:r>
        <w:rPr>
          <w:color w:val="FF8100"/>
        </w:rPr>
        <w:t>EMPLOYMENT</w:t>
      </w:r>
      <w:r>
        <w:rPr>
          <w:color w:val="FF8100"/>
          <w:spacing w:val="16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99" w:right="154"/>
      </w:pP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substantial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employment-related</w:t>
      </w:r>
      <w:r>
        <w:rPr>
          <w:color w:val="6E6158"/>
          <w:spacing w:val="28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allegations of breach of contract, wrongful termination, employment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wage and hour violations, misappropriation of trade secrets and confidential information,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unfair</w:t>
      </w:r>
      <w:r>
        <w:rPr>
          <w:color w:val="6E6158"/>
          <w:spacing w:val="40"/>
        </w:rPr>
        <w:t> </w:t>
      </w:r>
      <w:r>
        <w:rPr>
          <w:color w:val="6E6158"/>
        </w:rPr>
        <w:t>competition,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</w:p>
    <w:p>
      <w:pPr>
        <w:pStyle w:val="BodyText"/>
        <w:spacing w:line="297" w:lineRule="auto" w:before="1"/>
        <w:ind w:left="99" w:right="267"/>
      </w:pPr>
      <w:r>
        <w:rPr>
          <w:color w:val="6E6158"/>
        </w:rPr>
        <w:t>lawsuits,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34"/>
        </w:rPr>
        <w:t> </w:t>
      </w:r>
      <w:r>
        <w:rPr>
          <w:color w:val="6E6158"/>
        </w:rPr>
        <w:t>torts.</w:t>
      </w:r>
      <w:r>
        <w:rPr>
          <w:color w:val="6E6158"/>
          <w:spacing w:val="34"/>
        </w:rPr>
        <w:t> </w:t>
      </w:r>
      <w:r>
        <w:rPr>
          <w:color w:val="6E6158"/>
        </w:rPr>
        <w:t>We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 and all types of employment litigation, ranging from individual charges and single plaintiff cases</w:t>
      </w:r>
      <w:r>
        <w:rPr>
          <w:color w:val="6E6158"/>
          <w:spacing w:val="80"/>
        </w:rPr>
        <w:t> </w:t>
      </w:r>
      <w:r>
        <w:rPr>
          <w:color w:val="6E6158"/>
        </w:rPr>
        <w:t>to broad-scale class and collective actions.</w:t>
      </w:r>
    </w:p>
    <w:p>
      <w:pPr>
        <w:pStyle w:val="BodyText"/>
        <w:spacing w:line="295" w:lineRule="auto" w:before="192"/>
        <w:ind w:left="99" w:right="195"/>
      </w:pPr>
      <w:r>
        <w:rPr>
          <w:color w:val="6E6158"/>
        </w:rPr>
        <w:t>With offices in Arizona, California, Colorado, Nevada, Texas, and Washington, we represent our</w:t>
      </w:r>
      <w:r>
        <w:rPr>
          <w:color w:val="6E6158"/>
          <w:spacing w:val="40"/>
        </w:rPr>
        <w:t> </w:t>
      </w:r>
      <w:r>
        <w:rPr>
          <w:color w:val="6E6158"/>
        </w:rPr>
        <w:t>clients before federal and state courts and administrative agencies across the country, including</w:t>
      </w:r>
      <w:r>
        <w:rPr>
          <w:color w:val="6E6158"/>
          <w:spacing w:val="40"/>
        </w:rPr>
        <w:t> </w:t>
      </w:r>
      <w:r>
        <w:rPr>
          <w:color w:val="6E6158"/>
        </w:rPr>
        <w:t>the United States Department of Labor and the Equal Employment Opportunity Commission and</w:t>
      </w:r>
      <w:r>
        <w:rPr>
          <w:color w:val="6E6158"/>
          <w:spacing w:val="40"/>
        </w:rPr>
        <w:t> </w:t>
      </w:r>
      <w:r>
        <w:rPr>
          <w:color w:val="6E6158"/>
        </w:rPr>
        <w:t>related state agencies. We also defend employers in arbitrations arising out of arbitration clauses</w:t>
      </w:r>
      <w:r>
        <w:rPr>
          <w:color w:val="6E6158"/>
          <w:spacing w:val="40"/>
        </w:rPr>
        <w:t> </w:t>
      </w:r>
      <w:r>
        <w:rPr>
          <w:color w:val="6E6158"/>
        </w:rPr>
        <w:t>found in employment contracts we have helped our clients draft and adopt.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INTERNAL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INVESTIGATIONS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We conduct or advise on independent, internal investigations for our clients when concerns are</w:t>
      </w:r>
      <w:r>
        <w:rPr>
          <w:color w:val="6E6158"/>
          <w:spacing w:val="40"/>
        </w:rPr>
        <w:t> </w:t>
      </w:r>
      <w:r>
        <w:rPr>
          <w:color w:val="6E6158"/>
        </w:rPr>
        <w:t>raised in the workplace, including workplace misconduct,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policy violations, or other employment-related issues. These investigations are crucial for 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company policies and the law, maintaining a safe and fair workplace, and</w:t>
      </w:r>
      <w:r>
        <w:rPr>
          <w:color w:val="6E6158"/>
          <w:spacing w:val="40"/>
        </w:rPr>
        <w:t> </w:t>
      </w:r>
      <w:r>
        <w:rPr>
          <w:color w:val="6E6158"/>
        </w:rPr>
        <w:t>protecting the organization’s reputation.</w:t>
      </w:r>
    </w:p>
    <w:p>
      <w:pPr>
        <w:pStyle w:val="Heading1"/>
        <w:spacing w:before="161"/>
      </w:pPr>
      <w:r>
        <w:rPr>
          <w:color w:val="FF8100"/>
        </w:rPr>
        <w:t>LABOR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MANAGEMENT</w:t>
      </w:r>
    </w:p>
    <w:p>
      <w:pPr>
        <w:pStyle w:val="BodyText"/>
        <w:spacing w:line="292" w:lineRule="auto" w:before="154"/>
        <w:ind w:left="99"/>
      </w:pPr>
      <w:r>
        <w:rPr>
          <w:color w:val="6E6158"/>
        </w:rPr>
        <w:t>Our team counsels unionized employers, employers undergoing union organizing, and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faced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prospect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  <w:r>
        <w:rPr>
          <w:color w:val="6E6158"/>
          <w:spacing w:val="30"/>
        </w:rPr>
        <w:t> </w:t>
      </w:r>
      <w:r>
        <w:rPr>
          <w:color w:val="6E6158"/>
        </w:rPr>
        <w:t>organizing.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represent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concerning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</w:p>
    <w:p>
      <w:pPr>
        <w:pStyle w:val="BodyText"/>
        <w:spacing w:line="297" w:lineRule="auto" w:before="2"/>
        <w:ind w:left="99" w:right="259"/>
      </w:pPr>
      <w:r>
        <w:rPr>
          <w:color w:val="6E6158"/>
        </w:rPr>
        <w:t>avoidance, strike management, and contract interpretation and administration. We also represent our clients in labor arbitrations, National Labor Relations Board proceedings, and in</w:t>
      </w:r>
      <w:r>
        <w:rPr>
          <w:color w:val="6E6158"/>
          <w:spacing w:val="40"/>
        </w:rPr>
        <w:t> </w:t>
      </w:r>
      <w:r>
        <w:rPr>
          <w:color w:val="6E6158"/>
        </w:rPr>
        <w:t>contested cases in state and federal courts.</w:t>
      </w:r>
    </w:p>
    <w:p>
      <w:pPr>
        <w:pStyle w:val="Heading1"/>
        <w:spacing w:before="157"/>
      </w:pPr>
      <w:r>
        <w:rPr>
          <w:color w:val="FF8100"/>
        </w:rPr>
        <w:t>RESTRICTIVE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COVENANTS</w:t>
      </w:r>
    </w:p>
    <w:p>
      <w:pPr>
        <w:pStyle w:val="BodyText"/>
        <w:spacing w:line="295" w:lineRule="auto" w:before="147"/>
        <w:ind w:left="99" w:right="377"/>
      </w:pPr>
      <w:r>
        <w:rPr>
          <w:color w:val="6E6158"/>
        </w:rPr>
        <w:t>Careful analysis and planning are the most important parts of creating effective and enforceable restrictive covenants.</w:t>
      </w:r>
      <w:r>
        <w:rPr>
          <w:color w:val="6E6158"/>
          <w:spacing w:val="80"/>
        </w:rPr>
        <w:t> </w:t>
      </w:r>
      <w:r>
        <w:rPr>
          <w:color w:val="6E6158"/>
        </w:rPr>
        <w:t>At Fennemore, we take the time to understand our clients’ business and identify their trade secrets and confidential information.</w:t>
      </w:r>
      <w:r>
        <w:rPr>
          <w:color w:val="6E6158"/>
          <w:spacing w:val="80"/>
        </w:rPr>
        <w:t> </w:t>
      </w:r>
      <w:r>
        <w:rPr>
          <w:color w:val="6E6158"/>
        </w:rPr>
        <w:t>This understanding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us draft tailored restrictive covenants that protect what is protectable while remaining narrow</w:t>
      </w:r>
      <w:r>
        <w:rPr>
          <w:color w:val="6E6158"/>
          <w:spacing w:val="40"/>
        </w:rPr>
        <w:t> </w:t>
      </w:r>
      <w:r>
        <w:rPr>
          <w:color w:val="6E6158"/>
        </w:rPr>
        <w:t>enough to resist challenges.</w:t>
      </w:r>
    </w:p>
    <w:p>
      <w:pPr>
        <w:pStyle w:val="BodyText"/>
        <w:spacing w:line="295" w:lineRule="auto" w:before="194"/>
        <w:ind w:left="99" w:right="259"/>
      </w:pPr>
      <w:r>
        <w:rPr>
          <w:color w:val="6E6158"/>
        </w:rPr>
        <w:t>An enforceable restrictive covenant is only part of the equation. There are many things companies can do to prevent or limit theft of confidential information that don’t require a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agreement.</w:t>
      </w:r>
      <w:r>
        <w:rPr>
          <w:color w:val="6E6158"/>
          <w:spacing w:val="40"/>
        </w:rPr>
        <w:t> </w:t>
      </w:r>
      <w:r>
        <w:rPr>
          <w:color w:val="6E6158"/>
        </w:rPr>
        <w:t>We help our clients implement policies and practices that</w:t>
      </w:r>
      <w:r>
        <w:rPr>
          <w:color w:val="6E6158"/>
          <w:spacing w:val="40"/>
        </w:rPr>
        <w:t> </w:t>
      </w:r>
      <w:r>
        <w:rPr>
          <w:color w:val="6E6158"/>
        </w:rPr>
        <w:t>protect</w:t>
      </w:r>
      <w:r>
        <w:rPr>
          <w:color w:val="6E6158"/>
          <w:spacing w:val="36"/>
        </w:rPr>
        <w:t> </w:t>
      </w:r>
      <w:r>
        <w:rPr>
          <w:color w:val="6E6158"/>
        </w:rPr>
        <w:t>information</w:t>
      </w:r>
      <w:r>
        <w:rPr>
          <w:color w:val="6E6158"/>
          <w:spacing w:val="36"/>
        </w:rPr>
        <w:t> </w:t>
      </w:r>
      <w:r>
        <w:rPr>
          <w:color w:val="6E6158"/>
        </w:rPr>
        <w:t>even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absence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enforceable</w:t>
      </w:r>
      <w:r>
        <w:rPr>
          <w:color w:val="6E6158"/>
          <w:spacing w:val="36"/>
        </w:rPr>
        <w:t> </w:t>
      </w:r>
      <w:r>
        <w:rPr>
          <w:color w:val="6E6158"/>
        </w:rPr>
        <w:t>restrictive</w:t>
      </w:r>
      <w:r>
        <w:rPr>
          <w:color w:val="6E6158"/>
          <w:spacing w:val="36"/>
        </w:rPr>
        <w:t> </w:t>
      </w:r>
      <w:r>
        <w:rPr>
          <w:color w:val="6E6158"/>
        </w:rPr>
        <w:t>covenant.</w:t>
      </w:r>
    </w:p>
    <w:p>
      <w:pPr>
        <w:pStyle w:val="Heading1"/>
        <w:spacing w:before="163"/>
      </w:pPr>
      <w:r>
        <w:rPr>
          <w:color w:val="FF8100"/>
        </w:rPr>
        <w:t>UNEMPLOYMENT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COMPENSATION</w:t>
      </w:r>
    </w:p>
    <w:p>
      <w:pPr>
        <w:pStyle w:val="BodyText"/>
        <w:spacing w:before="147"/>
        <w:ind w:left="99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unemployment</w:t>
      </w:r>
      <w:r>
        <w:rPr>
          <w:color w:val="6E6158"/>
          <w:spacing w:val="16"/>
        </w:rPr>
        <w:t> </w:t>
      </w:r>
      <w:r>
        <w:rPr>
          <w:color w:val="6E6158"/>
        </w:rPr>
        <w:t>compensation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services</w:t>
      </w:r>
      <w:r>
        <w:rPr>
          <w:color w:val="6E6158"/>
          <w:spacing w:val="16"/>
        </w:rPr>
        <w:t> </w:t>
      </w:r>
      <w:r>
        <w:rPr>
          <w:color w:val="6E6158"/>
        </w:rPr>
        <w:t>relating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unemployment</w:t>
      </w:r>
    </w:p>
    <w:p>
      <w:pPr>
        <w:pStyle w:val="BodyText"/>
        <w:spacing w:line="292" w:lineRule="auto" w:before="60"/>
        <w:ind w:left="99" w:right="211"/>
      </w:pPr>
      <w:r>
        <w:rPr>
          <w:color w:val="6E6158"/>
        </w:rPr>
        <w:t>insurance, taxes, and benefits. We represent employers defending against claims for benefits by</w:t>
      </w:r>
      <w:r>
        <w:rPr>
          <w:color w:val="6E6158"/>
          <w:spacing w:val="40"/>
        </w:rPr>
        <w:t> </w:t>
      </w:r>
      <w:r>
        <w:rPr>
          <w:color w:val="6E6158"/>
        </w:rPr>
        <w:t>former</w:t>
      </w:r>
      <w:r>
        <w:rPr>
          <w:color w:val="6E6158"/>
          <w:spacing w:val="28"/>
        </w:rPr>
        <w:t> </w:t>
      </w:r>
      <w:r>
        <w:rPr>
          <w:color w:val="6E6158"/>
        </w:rPr>
        <w:t>employees</w:t>
      </w:r>
      <w:r>
        <w:rPr>
          <w:color w:val="6E6158"/>
          <w:spacing w:val="28"/>
        </w:rPr>
        <w:t> </w:t>
      </w:r>
      <w:r>
        <w:rPr>
          <w:color w:val="6E6158"/>
        </w:rPr>
        <w:t>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employers</w:t>
      </w:r>
      <w:r>
        <w:rPr>
          <w:color w:val="6E6158"/>
          <w:spacing w:val="28"/>
        </w:rPr>
        <w:t> </w:t>
      </w:r>
      <w:r>
        <w:rPr>
          <w:color w:val="6E6158"/>
        </w:rPr>
        <w:t>when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adverse</w:t>
      </w:r>
      <w:r>
        <w:rPr>
          <w:color w:val="6E6158"/>
          <w:spacing w:val="28"/>
        </w:rPr>
        <w:t> </w:t>
      </w:r>
      <w:r>
        <w:rPr>
          <w:color w:val="6E6158"/>
        </w:rPr>
        <w:t>party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state’s</w:t>
      </w:r>
    </w:p>
    <w:p>
      <w:pPr>
        <w:pStyle w:val="BodyText"/>
        <w:spacing w:before="1"/>
        <w:ind w:left="99"/>
      </w:pP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Security.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mployment-and-labor-relations/" TargetMode="External"/><Relationship Id="rId10" Type="http://schemas.openxmlformats.org/officeDocument/2006/relationships/hyperlink" Target="https://www.fennemorelaw.com/people/attorneys/janice-procter-murphy/" TargetMode="External"/><Relationship Id="rId11" Type="http://schemas.openxmlformats.org/officeDocument/2006/relationships/hyperlink" Target="https://www.fennemorelaw.com/contact-us/#phoenix" TargetMode="External"/><Relationship Id="rId12" Type="http://schemas.openxmlformats.org/officeDocument/2006/relationships/hyperlink" Target="mailto:jpmurphy@fennemorelaw.com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shannon-b-schmoyer/" TargetMode="External"/><Relationship Id="rId17" Type="http://schemas.openxmlformats.org/officeDocument/2006/relationships/hyperlink" Target="https://www.fennemorelaw.com/contact-us/#san-antonio" TargetMode="External"/><Relationship Id="rId18" Type="http://schemas.openxmlformats.org/officeDocument/2006/relationships/hyperlink" Target="mailto:sschmoyer@fennemorelaw.com" TargetMode="External"/><Relationship Id="rId19" Type="http://schemas.openxmlformats.org/officeDocument/2006/relationships/hyperlink" Target="https://www.fennemorelaw.com/people/attorneys/shannon-s-pierce/" TargetMode="External"/><Relationship Id="rId20" Type="http://schemas.openxmlformats.org/officeDocument/2006/relationships/hyperlink" Target="https://www.fennemorelaw.com/contact-us/#reno" TargetMode="External"/><Relationship Id="rId21" Type="http://schemas.openxmlformats.org/officeDocument/2006/relationships/hyperlink" Target="mailto:spierce@fennemorelaw.com" TargetMode="External"/><Relationship Id="rId22" Type="http://schemas.openxmlformats.org/officeDocument/2006/relationships/hyperlink" Target="https://www.fennemorelaw.com/services/erisa-and-employee-benefi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&amp; Employment - Fennemore</dc:title>
  <dcterms:created xsi:type="dcterms:W3CDTF">2025-12-29T23:27:38Z</dcterms:created>
  <dcterms:modified xsi:type="dcterms:W3CDTF">2025-12-29T23:27:38Z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2025-12-29T00:00:00Z</vt:filetime>
  </property>
  <property fmtid="{D5CDD505-2E9C-101B-9397-08002B2CF9AE}" pid="5" name="Producer">
    <vt:lpwstr>Skia/PDF m142</vt:lpwstr>
  </property>
</Properties>
</file>