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en Howell bio cop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92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295" h="320675">
                                <a:moveTo>
                                  <a:pt x="197907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9079" y="320382"/>
                                </a:lnTo>
                                <a:lnTo>
                                  <a:pt x="1979079" y="315214"/>
                                </a:lnTo>
                                <a:close/>
                              </a:path>
                              <a:path w="1979295" h="320675">
                                <a:moveTo>
                                  <a:pt x="197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9079" y="5168"/>
                                </a:lnTo>
                                <a:lnTo>
                                  <a:pt x="197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3023" y="763308"/>
                            <a:ext cx="19945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HOWELL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1859626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663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646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9636" y="2226505"/>
                            <a:ext cx="14408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lhowell@fennemorelaw.com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Lauren Howell bio copy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51;top:-2501;width:3117;height:505" id="docshape5" coordorigin="6951,-2500" coordsize="3117,505" path="m10068,-2004l6951,-2004,6951,-1996,10068,-1996,10068,-2004xm10068,-2500l6951,-2500,6951,-2492,10068,-2492,1006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7;top:-3455;width:314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HOWELL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1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763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82;top:-1151;width:226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lhowell@fennemorelaw.com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LAUREN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HOWELL</w:t>
      </w:r>
    </w:p>
    <w:p>
      <w:pPr>
        <w:pStyle w:val="BodyText"/>
        <w:spacing w:line="297" w:lineRule="auto" w:before="147"/>
        <w:ind w:left="99" w:right="1079"/>
      </w:pPr>
      <w:r>
        <w:rPr>
          <w:color w:val="6E6158"/>
        </w:rPr>
        <w:t>Lauren Howell is an attorney in Fennemore’s San Antonio office. She primarily handles</w:t>
      </w:r>
      <w:r>
        <w:rPr>
          <w:color w:val="6E6158"/>
          <w:spacing w:val="40"/>
        </w:rPr>
        <w:t> </w:t>
      </w:r>
      <w:r>
        <w:rPr>
          <w:color w:val="6E6158"/>
        </w:rPr>
        <w:t>employment and labor law matters, representing management in a wide variety of employment-related</w:t>
      </w:r>
      <w:r>
        <w:rPr>
          <w:color w:val="6E6158"/>
          <w:spacing w:val="16"/>
        </w:rPr>
        <w:t> </w:t>
      </w:r>
      <w:r>
        <w:rPr>
          <w:color w:val="6E6158"/>
        </w:rPr>
        <w:t>claims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both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state</w:t>
      </w:r>
      <w:r>
        <w:rPr>
          <w:color w:val="6E6158"/>
          <w:spacing w:val="16"/>
        </w:rPr>
        <w:t> </w:t>
      </w:r>
      <w:r>
        <w:rPr>
          <w:color w:val="6E6158"/>
        </w:rPr>
        <w:t>courts.</w:t>
      </w:r>
      <w:r>
        <w:rPr>
          <w:color w:val="6E6158"/>
          <w:spacing w:val="16"/>
        </w:rPr>
        <w:t> </w:t>
      </w:r>
      <w:r>
        <w:rPr>
          <w:color w:val="6E6158"/>
        </w:rPr>
        <w:t>She</w:t>
      </w:r>
      <w:r>
        <w:rPr>
          <w:color w:val="6E6158"/>
          <w:spacing w:val="16"/>
        </w:rPr>
        <w:t> </w:t>
      </w:r>
      <w:r>
        <w:rPr>
          <w:color w:val="6E6158"/>
        </w:rPr>
        <w:t>advises</w:t>
      </w:r>
      <w:r>
        <w:rPr>
          <w:color w:val="6E6158"/>
          <w:spacing w:val="16"/>
        </w:rPr>
        <w:t> </w:t>
      </w:r>
      <w:r>
        <w:rPr>
          <w:color w:val="6E6158"/>
        </w:rPr>
        <w:t>employers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</w:p>
    <w:p>
      <w:pPr>
        <w:pStyle w:val="BodyText"/>
        <w:spacing w:line="297" w:lineRule="auto"/>
        <w:ind w:left="99" w:right="361"/>
      </w:pPr>
      <w:r>
        <w:rPr>
          <w:color w:val="6E6158"/>
        </w:rPr>
        <w:t>workplace compliance, policies, and dispute resolution, and defends businesses in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alleging discrimination, retaliation, hostile work environment, wage and hour claims, and</w:t>
      </w:r>
      <w:r>
        <w:rPr>
          <w:color w:val="6E6158"/>
          <w:spacing w:val="40"/>
        </w:rPr>
        <w:t> </w:t>
      </w:r>
      <w:r>
        <w:rPr>
          <w:color w:val="6E6158"/>
        </w:rPr>
        <w:t>wrongful</w:t>
      </w:r>
      <w:r>
        <w:rPr>
          <w:color w:val="6E6158"/>
          <w:spacing w:val="34"/>
        </w:rPr>
        <w:t> </w:t>
      </w:r>
      <w:r>
        <w:rPr>
          <w:color w:val="6E6158"/>
        </w:rPr>
        <w:t>termination.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handles</w:t>
      </w:r>
      <w:r>
        <w:rPr>
          <w:color w:val="6E6158"/>
          <w:spacing w:val="34"/>
        </w:rPr>
        <w:t> </w:t>
      </w:r>
      <w:r>
        <w:rPr>
          <w:color w:val="6E6158"/>
        </w:rPr>
        <w:t>select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litigation</w:t>
      </w:r>
      <w:r>
        <w:rPr>
          <w:color w:val="6E6158"/>
          <w:spacing w:val="34"/>
        </w:rPr>
        <w:t> </w:t>
      </w:r>
      <w:r>
        <w:rPr>
          <w:color w:val="6E6158"/>
        </w:rPr>
        <w:t>cases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firm.</w:t>
      </w:r>
    </w:p>
    <w:p>
      <w:pPr>
        <w:pStyle w:val="BodyText"/>
        <w:spacing w:before="187"/>
        <w:ind w:left="99"/>
      </w:pPr>
      <w:r>
        <w:rPr>
          <w:color w:val="6E6158"/>
        </w:rPr>
        <w:t>Lauren’s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handling</w:t>
      </w:r>
      <w:r>
        <w:rPr>
          <w:color w:val="6E6158"/>
          <w:spacing w:val="17"/>
        </w:rPr>
        <w:t> </w:t>
      </w:r>
      <w:r>
        <w:rPr>
          <w:color w:val="6E6158"/>
        </w:rPr>
        <w:t>cases</w:t>
      </w:r>
      <w:r>
        <w:rPr>
          <w:color w:val="6E6158"/>
          <w:spacing w:val="18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construction</w:t>
      </w:r>
    </w:p>
    <w:p>
      <w:pPr>
        <w:pStyle w:val="BodyText"/>
        <w:spacing w:line="295" w:lineRule="auto" w:before="52"/>
        <w:ind w:left="99" w:right="219"/>
      </w:pPr>
      <w:r>
        <w:rPr>
          <w:color w:val="6E6158"/>
        </w:rPr>
        <w:t>disputes, breach of contract, partnership and joint venture disputes, nuisance and trespass,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business-related matters. Before focusing her practice on employment and labor law,</w:t>
      </w:r>
      <w:r>
        <w:rPr>
          <w:color w:val="6E6158"/>
          <w:spacing w:val="40"/>
        </w:rPr>
        <w:t> </w:t>
      </w:r>
      <w:r>
        <w:rPr>
          <w:color w:val="6E6158"/>
        </w:rPr>
        <w:t>Lauren represented clients in commercial and civil litigation, counseled businesses on corporate</w:t>
      </w:r>
      <w:r>
        <w:rPr>
          <w:color w:val="6E6158"/>
          <w:spacing w:val="40"/>
        </w:rPr>
        <w:t> </w:t>
      </w:r>
      <w:r>
        <w:rPr>
          <w:color w:val="6E6158"/>
        </w:rPr>
        <w:t>compliance, and developed estate plans for small businesses and individuals. Her well-rounded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1"/>
        </w:rPr>
        <w:t> </w:t>
      </w:r>
      <w:r>
        <w:rPr>
          <w:color w:val="6E6158"/>
        </w:rPr>
        <w:t>allows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employers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comprehensive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solutions</w:t>
      </w:r>
    </w:p>
    <w:p>
      <w:pPr>
        <w:pStyle w:val="BodyText"/>
        <w:spacing w:before="8"/>
        <w:ind w:left="99"/>
      </w:pP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align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objectives.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308"/>
      </w:pPr>
      <w:r>
        <w:rPr>
          <w:color w:val="6E6158"/>
        </w:rPr>
        <w:t>Lauren graduated cum laude from Texas A&amp;M University in College Station in 2013, and</w:t>
      </w:r>
      <w:r>
        <w:rPr>
          <w:color w:val="6E6158"/>
          <w:spacing w:val="80"/>
        </w:rPr>
        <w:t> </w:t>
      </w:r>
      <w:r>
        <w:rPr>
          <w:color w:val="6E6158"/>
        </w:rPr>
        <w:t>completed the University of Houston Paralegal Certificate Program later that year. Before attending law school, Lauren worked as a civil litigation paralegal for five years in both Houston</w:t>
      </w:r>
      <w:r>
        <w:rPr>
          <w:color w:val="6E6158"/>
          <w:spacing w:val="40"/>
        </w:rPr>
        <w:t> </w:t>
      </w:r>
      <w:r>
        <w:rPr>
          <w:color w:val="6E6158"/>
        </w:rPr>
        <w:t>and San Antonio, gaining valuable firsthand experience in complex case management and </w:t>
      </w:r>
      <w:r>
        <w:rPr>
          <w:color w:val="6E6158"/>
        </w:rPr>
        <w:t>trial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preparation.</w:t>
      </w:r>
    </w:p>
    <w:p>
      <w:pPr>
        <w:pStyle w:val="BodyText"/>
        <w:spacing w:line="297" w:lineRule="auto" w:before="195"/>
        <w:ind w:left="99" w:right="168"/>
      </w:pPr>
      <w:r>
        <w:rPr>
          <w:color w:val="6E6158"/>
        </w:rPr>
        <w:t>Lauren earned her law degree from St. Mary’s University School of Law in 2021, where she</w:t>
      </w:r>
      <w:r>
        <w:rPr>
          <w:color w:val="6E6158"/>
          <w:spacing w:val="40"/>
        </w:rPr>
        <w:t> </w:t>
      </w:r>
      <w:r>
        <w:rPr>
          <w:color w:val="6E6158"/>
        </w:rPr>
        <w:t>distinguished herself as the Managing Executive Editor of the St. Mary’s Law Journal, President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Animal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Defense</w:t>
      </w:r>
      <w:r>
        <w:rPr>
          <w:color w:val="6E6158"/>
          <w:spacing w:val="27"/>
        </w:rPr>
        <w:t> </w:t>
      </w:r>
      <w:r>
        <w:rPr>
          <w:color w:val="6E6158"/>
        </w:rPr>
        <w:t>Fund,</w:t>
      </w:r>
      <w:r>
        <w:rPr>
          <w:color w:val="6E6158"/>
          <w:spacing w:val="27"/>
        </w:rPr>
        <w:t> </w:t>
      </w:r>
      <w:r>
        <w:rPr>
          <w:color w:val="6E6158"/>
        </w:rPr>
        <w:t>Secretary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Oil,</w:t>
      </w:r>
      <w:r>
        <w:rPr>
          <w:color w:val="6E6158"/>
          <w:spacing w:val="27"/>
        </w:rPr>
        <w:t> </w:t>
      </w:r>
      <w:r>
        <w:rPr>
          <w:color w:val="6E6158"/>
        </w:rPr>
        <w:t>Gas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Energy</w:t>
      </w:r>
      <w:r>
        <w:rPr>
          <w:color w:val="6E6158"/>
          <w:spacing w:val="27"/>
        </w:rPr>
        <w:t> </w:t>
      </w:r>
      <w:r>
        <w:rPr>
          <w:color w:val="6E6158"/>
        </w:rPr>
        <w:t>Resources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</w:p>
    <w:p>
      <w:pPr>
        <w:pStyle w:val="BodyText"/>
        <w:spacing w:line="290" w:lineRule="auto"/>
        <w:ind w:left="99" w:right="308"/>
      </w:pPr>
      <w:r>
        <w:rPr>
          <w:color w:val="6E6158"/>
        </w:rPr>
        <w:t>Society, in addition to being a member in multiple other campus organizations. Her Comment</w:t>
      </w:r>
      <w:r>
        <w:rPr>
          <w:color w:val="6E6158"/>
          <w:spacing w:val="40"/>
        </w:rPr>
        <w:t> </w:t>
      </w:r>
      <w:r>
        <w:rPr>
          <w:color w:val="6E6158"/>
        </w:rPr>
        <w:t>was selected for publication in the </w:t>
      </w:r>
      <w:r>
        <w:rPr>
          <w:i/>
          <w:color w:val="6E6158"/>
          <w:sz w:val="20"/>
        </w:rPr>
        <w:t>St. Mary’s Law Journal</w:t>
      </w:r>
      <w:r>
        <w:rPr>
          <w:color w:val="6E6158"/>
        </w:rPr>
        <w:t>, and she also served as a Research Assistant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Texas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Teaching</w:t>
      </w:r>
      <w:r>
        <w:rPr>
          <w:color w:val="6E6158"/>
          <w:spacing w:val="12"/>
        </w:rPr>
        <w:t> </w:t>
      </w:r>
      <w:r>
        <w:rPr>
          <w:color w:val="6E6158"/>
        </w:rPr>
        <w:t>Assistant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courses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</w:p>
    <w:p>
      <w:pPr>
        <w:pStyle w:val="BodyText"/>
        <w:spacing w:line="292" w:lineRule="auto"/>
        <w:ind w:left="99" w:right="168"/>
      </w:pPr>
      <w:r>
        <w:rPr>
          <w:color w:val="6E6158"/>
        </w:rPr>
        <w:t>Law, Administrative Law, Torts, Criminal Law, and Legal Writing. During law school, Lauren gained</w:t>
      </w:r>
      <w:r>
        <w:rPr>
          <w:color w:val="6E6158"/>
          <w:spacing w:val="40"/>
        </w:rPr>
        <w:t> </w:t>
      </w:r>
      <w:r>
        <w:rPr>
          <w:color w:val="6E6158"/>
        </w:rPr>
        <w:t>valuable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internships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Valero</w:t>
      </w:r>
      <w:r>
        <w:rPr>
          <w:color w:val="6E6158"/>
          <w:spacing w:val="39"/>
        </w:rPr>
        <w:t> </w:t>
      </w:r>
      <w:r>
        <w:rPr>
          <w:color w:val="6E6158"/>
        </w:rPr>
        <w:t>Energy</w:t>
      </w:r>
      <w:r>
        <w:rPr>
          <w:color w:val="6E6158"/>
          <w:spacing w:val="39"/>
        </w:rPr>
        <w:t> </w:t>
      </w:r>
      <w:r>
        <w:rPr>
          <w:color w:val="6E6158"/>
        </w:rPr>
        <w:t>Corporation,</w:t>
      </w:r>
      <w:r>
        <w:rPr>
          <w:color w:val="6E6158"/>
          <w:spacing w:val="39"/>
        </w:rPr>
        <w:t> </w:t>
      </w:r>
      <w:r>
        <w:rPr>
          <w:color w:val="6E6158"/>
        </w:rPr>
        <w:t>the Honorable</w:t>
      </w:r>
      <w:r>
        <w:rPr>
          <w:color w:val="6E6158"/>
          <w:spacing w:val="26"/>
        </w:rPr>
        <w:t> </w:t>
      </w:r>
      <w:r>
        <w:rPr>
          <w:color w:val="6E6158"/>
        </w:rPr>
        <w:t>Judge</w:t>
      </w:r>
      <w:r>
        <w:rPr>
          <w:color w:val="6E6158"/>
          <w:spacing w:val="26"/>
        </w:rPr>
        <w:t> </w:t>
      </w:r>
      <w:r>
        <w:rPr>
          <w:color w:val="6E6158"/>
        </w:rPr>
        <w:t>Craig</w:t>
      </w:r>
      <w:r>
        <w:rPr>
          <w:color w:val="6E6158"/>
          <w:spacing w:val="26"/>
        </w:rPr>
        <w:t> </w:t>
      </w:r>
      <w:r>
        <w:rPr>
          <w:color w:val="6E6158"/>
        </w:rPr>
        <w:t>A.</w:t>
      </w:r>
      <w:r>
        <w:rPr>
          <w:color w:val="6E6158"/>
          <w:spacing w:val="26"/>
        </w:rPr>
        <w:t> </w:t>
      </w:r>
      <w:r>
        <w:rPr>
          <w:color w:val="6E6158"/>
        </w:rPr>
        <w:t>Gargotta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Western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Texas,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multiple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  <w:r>
        <w:rPr>
          <w:color w:val="6E6158"/>
          <w:spacing w:val="26"/>
        </w:rPr>
        <w:t> </w:t>
      </w:r>
      <w:r>
        <w:rPr>
          <w:color w:val="6E6158"/>
        </w:rPr>
        <w:t>Antonio</w:t>
      </w:r>
    </w:p>
    <w:p>
      <w:pPr>
        <w:pStyle w:val="BodyText"/>
        <w:spacing w:before="8"/>
        <w:ind w:left="99"/>
      </w:pP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firms.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Prior to joining Fennemore, Lauren was an associate at a San Antonio-based law firm focused on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employment, construction, and business litigation.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St.</w:t>
      </w:r>
      <w:r>
        <w:rPr>
          <w:color w:val="6E6158"/>
          <w:spacing w:val="8"/>
        </w:rPr>
        <w:t> </w:t>
      </w:r>
      <w:r>
        <w:rPr>
          <w:color w:val="6E6158"/>
        </w:rPr>
        <w:t>Mary’s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173610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151pt;width:1.65pt;height:1.65pt;mso-position-horizontal-relative:page;mso-position-vertical-relative:paragraph;z-index:15729664" id="docshape12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A&amp;M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7"/>
        </w:rPr>
        <w:t> </w:t>
      </w:r>
      <w:r>
        <w:rPr>
          <w:color w:val="6E6158"/>
        </w:rPr>
        <w:t>Station,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174030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315pt;width:1.65pt;height:1.65pt;mso-position-horizontal-relative:page;mso-position-vertical-relative:paragraph;z-index:15730176" id="docshape13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</w:t>
      </w:r>
      <w:r>
        <w:rPr>
          <w:color w:val="6E6158"/>
          <w:spacing w:val="15"/>
        </w:rPr>
        <w:t> </w:t>
      </w:r>
      <w:r>
        <w:rPr>
          <w:color w:val="6E6158"/>
        </w:rPr>
        <w:t>Certificate,</w:t>
      </w:r>
      <w:r>
        <w:rPr>
          <w:color w:val="6E6158"/>
          <w:spacing w:val="16"/>
        </w:rPr>
        <w:t> </w:t>
      </w:r>
      <w:r>
        <w:rPr>
          <w:color w:val="6E6158"/>
        </w:rPr>
        <w:t>University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Houston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035pt;width:1.65pt;height:1.65pt;mso-position-horizontal-relative:page;mso-position-vertical-relative:paragraph;z-index:15730688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416341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787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245481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922pt;width:1.65pt;height:1.65pt;mso-position-horizontal-relative:page;mso-position-vertical-relative:paragraph;z-index:15731712" id="docshape16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America: Ones to Watch®, Labor and Employment Law – Management </w:t>
      </w:r>
      <w:r>
        <w:rPr>
          <w:color w:val="6E6158"/>
        </w:rPr>
        <w:t>and Litigation – Labor and Employment, 2026</w:t>
      </w:r>
    </w:p>
    <w:p>
      <w:pPr>
        <w:pStyle w:val="BodyText"/>
        <w:spacing w:line="417" w:lineRule="auto" w:before="114"/>
        <w:ind w:right="2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143209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332pt;width:1.65pt;height:1.65pt;mso-position-horizontal-relative:page;mso-position-vertical-relative:paragraph;z-index:15732224" id="docshape1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401575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081pt;width:1.65pt;height:1.65pt;mso-position-horizontal-relative:page;mso-position-vertical-relative:paragraph;z-index:15732736" id="docshape18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659940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3829pt;width:1.65pt;height:1.65pt;mso-position-horizontal-relative:page;mso-position-vertical-relative:paragraph;z-index:15733248" id="docshape19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27"/>
        </w:rPr>
        <w:t> </w:t>
      </w:r>
      <w:r>
        <w:rPr>
          <w:color w:val="6E6158"/>
        </w:rPr>
        <w:t>Labor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Attorney,</w:t>
      </w:r>
      <w:r>
        <w:rPr>
          <w:color w:val="6E6158"/>
          <w:spacing w:val="27"/>
        </w:rPr>
        <w:t>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</w:t>
      </w:r>
      <w:r>
        <w:rPr>
          <w:color w:val="6E6158"/>
          <w:spacing w:val="27"/>
        </w:rPr>
        <w:t> </w:t>
      </w:r>
      <w:r>
        <w:rPr>
          <w:color w:val="6E6158"/>
        </w:rPr>
        <w:t>2025</w:t>
      </w:r>
      <w:r>
        <w:rPr>
          <w:color w:val="6E6158"/>
        </w:rPr>
        <w:t> San Antonio’s Best Labor and Employment Lawyers, Scene in S.A., 2024 Rising Star S.A. Lawyer, Scene in S.A., 2024</w:t>
      </w:r>
    </w:p>
    <w:p>
      <w:pPr>
        <w:pStyle w:val="BodyText"/>
        <w:spacing w:line="420" w:lineRule="auto" w:before="1"/>
        <w:ind w:right="28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65363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46719pt;width:1.65pt;height:1.65pt;mso-position-horizontal-relative:page;mso-position-vertical-relative:paragraph;z-index:15733760" id="docshape20" coordorigin="1670,103" coordsize="33,33" path="m1691,135l1682,135,1678,134,1671,128,1670,124,1670,115,1671,111,1678,105,1682,103,1691,103,1694,105,1701,111,1702,115,1702,119,1702,124,1701,128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323728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0469pt;width:1.65pt;height:1.65pt;mso-position-horizontal-relative:page;mso-position-vertical-relative:paragraph;z-index:15734272" id="docshape21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Outstanding Women Lawyers, Scene in S.A., </w:t>
      </w:r>
      <w:r>
        <w:rPr>
          <w:color w:val="6E6158"/>
        </w:rPr>
        <w:t>2024 San Antonio’s Best Litigation Lawyers, Scene in S.A., 2023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4"/>
        <w:ind w:right="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250656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6771pt;width:1.65pt;height:1.65pt;mso-position-horizontal-relative:page;mso-position-vertical-relative:paragraph;z-index:15734784" id="docshape22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“Handling Employee Accommodations Requests,” management-side </w:t>
      </w:r>
      <w:r>
        <w:rPr>
          <w:color w:val="6E6158"/>
        </w:rPr>
        <w:t>training for corporate client, November 12, 2025</w:t>
      </w:r>
    </w:p>
    <w:p>
      <w:pPr>
        <w:pStyle w:val="BodyText"/>
        <w:spacing w:line="292" w:lineRule="auto" w:before="12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231149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769pt;width:1.65pt;height:1.65pt;mso-position-horizontal-relative:page;mso-position-vertical-relative:paragraph;z-index:15735296" id="docshape23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Paralegal’s Power: Management Side Strategies in Employment Law,” </w:t>
      </w:r>
      <w:r>
        <w:rPr>
          <w:color w:val="6E6158"/>
        </w:rPr>
        <w:t>TAPS 2025 – Texas Advanced Paralegal Seminar, September 24, 2025</w:t>
      </w:r>
    </w:p>
    <w:p>
      <w:pPr>
        <w:pStyle w:val="BodyText"/>
        <w:spacing w:line="292" w:lineRule="auto" w:before="131"/>
        <w:ind w:right="1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648pt;width:1.65pt;height:1.65pt;mso-position-horizontal-relative:page;mso-position-vertical-relative:paragraph;z-index:15735808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The Future of Remote Work</w:t>
        </w:r>
      </w:hyperlink>
      <w:r>
        <w:rPr>
          <w:color w:val="6E6158"/>
        </w:rPr>
        <w:t>,” The State Bar Litigation Section Report – </w:t>
      </w:r>
      <w:r>
        <w:rPr>
          <w:color w:val="6E6158"/>
        </w:rPr>
        <w:t>110 Advocate 39, Spring 2025.</w:t>
      </w:r>
    </w:p>
    <w:p>
      <w:pPr>
        <w:pStyle w:val="BodyText"/>
        <w:spacing w:line="292" w:lineRule="auto" w:before="12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230957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606pt;width:1.65pt;height:1.65pt;mso-position-horizontal-relative:page;mso-position-vertical-relative:paragraph;z-index:15736320" id="docshape25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“The</w:t>
      </w:r>
      <w:r>
        <w:rPr>
          <w:color w:val="6E6158"/>
          <w:spacing w:val="13"/>
        </w:rPr>
        <w:t> </w:t>
      </w:r>
      <w:r>
        <w:rPr>
          <w:color w:val="6E6158"/>
        </w:rPr>
        <w:t>Future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Remote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Artificial</w:t>
      </w:r>
      <w:r>
        <w:rPr>
          <w:color w:val="6E6158"/>
          <w:spacing w:val="13"/>
        </w:rPr>
        <w:t> </w:t>
      </w:r>
      <w:r>
        <w:rPr>
          <w:color w:val="6E6158"/>
        </w:rPr>
        <w:t>Intelligence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3"/>
        </w:rPr>
        <w:t> </w:t>
      </w:r>
      <w:r>
        <w:rPr>
          <w:color w:val="6E6158"/>
        </w:rPr>
        <w:t>Paralegal</w:t>
      </w:r>
      <w:r>
        <w:rPr>
          <w:color w:val="6E6158"/>
          <w:spacing w:val="13"/>
        </w:rPr>
        <w:t> </w:t>
      </w:r>
      <w:r>
        <w:rPr>
          <w:color w:val="6E6158"/>
        </w:rPr>
        <w:t>Division – State Bar of Texas CLE, April 30, 2025</w:t>
      </w:r>
    </w:p>
    <w:p>
      <w:pPr>
        <w:pStyle w:val="BodyText"/>
        <w:spacing w:line="292" w:lineRule="auto" w:before="13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436pt;width:1.65pt;height:1.65pt;mso-position-horizontal-relative:page;mso-position-vertical-relative:paragraph;z-index:15736832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“Alexa Hears with Her Little Ears – But Does She Have the Privilege?,” 52 ST. MARY’S L.J. 837, 2021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158107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399pt;width:1.65pt;height:1.65pt;mso-position-horizontal-relative:page;mso-position-vertical-relative:paragraph;z-index:15737344" id="docshape2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Bexar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Women’s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Academy,</w:t>
      </w:r>
      <w:r>
        <w:rPr>
          <w:color w:val="6E6158"/>
          <w:spacing w:val="12"/>
        </w:rPr>
        <w:t> </w:t>
      </w:r>
      <w:r>
        <w:rPr>
          <w:color w:val="6E6158"/>
        </w:rPr>
        <w:t>Class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8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175202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437pt;width:1.65pt;height:1.65pt;mso-position-horizontal-relative:page;mso-position-vertical-relative:paragraph;z-index:15737856" id="docshape28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433567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206pt;width:1.65pt;height:1.65pt;mso-position-horizontal-relative:page;mso-position-vertical-relative:paragraph;z-index:15738368" id="docshape29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 Labor and Employment Law Section, San Antonio Bar Association, 2025 – </w:t>
      </w:r>
      <w:r>
        <w:rPr>
          <w:color w:val="6E6158"/>
        </w:rPr>
        <w:t>2026 Board Member, BecomeOne, a 501(c)(3) nonprofit organization, 2025 – Present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63790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851pt;width:1.65pt;height:1.65pt;mso-position-horizontal-relative:page;mso-position-vertical-relative:paragraph;z-index:15738880" id="docshape3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Antonio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Association,</w:t>
      </w:r>
      <w:r>
        <w:rPr>
          <w:color w:val="6E6158"/>
          <w:spacing w:val="9"/>
        </w:rPr>
        <w:t> </w:t>
      </w:r>
      <w:r>
        <w:rPr>
          <w:color w:val="6E6158"/>
        </w:rPr>
        <w:t>2022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4"/>
        <w:ind w:right="2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175239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358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433604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2101pt;width:1.65pt;height:1.65pt;mso-position-horizontal-relative:page;mso-position-vertical-relative:paragraph;z-index:15739904" id="docshape32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Young Lawyers Association, 2021 – Present Volunteer,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Antonio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Services</w:t>
      </w:r>
      <w:r>
        <w:rPr>
          <w:color w:val="6E6158"/>
          <w:spacing w:val="8"/>
        </w:rPr>
        <w:t> </w:t>
      </w:r>
      <w:r>
        <w:rPr>
          <w:color w:val="6E6158"/>
        </w:rPr>
        <w:t>Association,</w:t>
      </w:r>
      <w:r>
        <w:rPr>
          <w:color w:val="6E6158"/>
          <w:spacing w:val="8"/>
        </w:rPr>
        <w:t> </w:t>
      </w:r>
      <w:r>
        <w:rPr>
          <w:color w:val="6E6158"/>
        </w:rPr>
        <w:t>2021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/>
        <w:ind w:right="1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60031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691pt;width:1.65pt;height:1.65pt;mso-position-horizontal-relative:page;mso-position-vertical-relative:paragraph;z-index:15740416" id="docshape33" coordorigin="1670,95" coordsize="33,33" path="m1691,127l1682,127,1678,125,1671,119,1670,115,1670,106,1671,102,1678,96,1682,95,1691,95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318397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0652pt;width:1.65pt;height:1.65pt;mso-position-horizontal-relative:page;mso-position-vertical-relative:paragraph;z-index:15740928" id="docshape34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St. Mary’s University School of Law Office of Career Strategy, 2021 – Present Member, Bexar County Women’s Bar Association, 2023 – Present</w:t>
      </w:r>
    </w:p>
    <w:p>
      <w:pPr>
        <w:pStyle w:val="BodyText"/>
        <w:spacing w:after="0" w:line="420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440" id="docshape3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Young</w:t>
      </w:r>
      <w:r>
        <w:rPr>
          <w:color w:val="6E6158"/>
          <w:spacing w:val="6"/>
        </w:rPr>
        <w:t> </w:t>
      </w:r>
      <w:r>
        <w:rPr>
          <w:color w:val="6E6158"/>
        </w:rPr>
        <w:t>Aggies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Antonio,</w:t>
      </w:r>
      <w:r>
        <w:rPr>
          <w:color w:val="6E6158"/>
          <w:spacing w:val="6"/>
        </w:rPr>
        <w:t> </w:t>
      </w:r>
      <w:r>
        <w:rPr>
          <w:color w:val="6E6158"/>
        </w:rPr>
        <w:t>2017</w:t>
      </w:r>
      <w:r>
        <w:rPr>
          <w:color w:val="6E6158"/>
          <w:spacing w:val="5"/>
        </w:rPr>
        <w:t> </w:t>
      </w:r>
      <w:r>
        <w:rPr>
          <w:color w:val="6E6158"/>
        </w:rPr>
        <w:t>–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1952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Defense</w:t>
      </w:r>
      <w:r>
        <w:rPr>
          <w:color w:val="6E6158"/>
          <w:spacing w:val="9"/>
        </w:rPr>
        <w:t> </w:t>
      </w:r>
      <w:r>
        <w:rPr>
          <w:color w:val="6E6158"/>
        </w:rPr>
        <w:t>Counsel,</w:t>
      </w:r>
      <w:r>
        <w:rPr>
          <w:color w:val="6E6158"/>
          <w:spacing w:val="9"/>
        </w:rPr>
        <w:t> </w:t>
      </w:r>
      <w:r>
        <w:rPr>
          <w:color w:val="6E6158"/>
        </w:rPr>
        <w:t>2022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268298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858pt;width:1.65pt;height:1.65pt;mso-position-horizontal-relative:page;mso-position-vertical-relative:paragraph;z-index:15742464" id="docshape37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Student Member, The Honorable Larry E. Kelly Bankruptcy American Inn of Court, 2020 – </w:t>
      </w:r>
      <w:r>
        <w:rPr>
          <w:color w:val="6E6158"/>
          <w:spacing w:val="-4"/>
        </w:rPr>
        <w:t>2021</w:t>
      </w:r>
    </w:p>
    <w:p>
      <w:pPr>
        <w:pStyle w:val="Heading1"/>
        <w:spacing w:before="16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157679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742pt;width:1.65pt;height:1.65pt;mso-position-horizontal-relative:page;mso-position-vertical-relative:paragraph;z-index:15742976" id="docshape3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175409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785pt;width:1.65pt;height:1.65pt;mso-position-horizontal-relative:page;mso-position-vertical-relative:paragraph;z-index:15743488" id="docshape3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175359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83pt;width:1.65pt;height:1.65pt;mso-position-horizontal-relative:page;mso-position-vertical-relative:paragraph;z-index:15744000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175396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75pt;width:1.65pt;height:1.65pt;mso-position-horizontal-relative:page;mso-position-vertical-relative:paragraph;z-index:15744512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lhowell@fennemorelaw.com" TargetMode="External"/><Relationship Id="rId11" Type="http://schemas.openxmlformats.org/officeDocument/2006/relationships/hyperlink" Target="https://sr-llp.com/wp-content/uploads/2025/04/The-Future-of-Remote-Work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Howell - Fennemore</dc:title>
  <dcterms:created xsi:type="dcterms:W3CDTF">2025-12-01T21:30:44Z</dcterms:created>
  <dcterms:modified xsi:type="dcterms:W3CDTF">2025-12-01T21:30:44Z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