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icholas Thompson 0047 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6417" y="763308"/>
                            <a:ext cx="156781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9104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icholas Thompson 0047 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3;top:-3887;width:2469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08;top:-1151;width:261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NICHOLAS</w:t>
      </w:r>
      <w:r>
        <w:rPr>
          <w:color w:val="FF8100"/>
          <w:spacing w:val="8"/>
        </w:rPr>
        <w:t> </w:t>
      </w:r>
      <w:r>
        <w:rPr>
          <w:color w:val="FF8100"/>
        </w:rPr>
        <w:t>H.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Nicholas Thompson is a seasoned mergers and acquisitions, business, tax, and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attorney who counsels business owners, companies, and private investment funds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stage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lifecycle,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distinct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7" w:lineRule="auto"/>
        <w:ind w:left="99" w:right="391"/>
      </w:pPr>
      <w:r>
        <w:rPr>
          <w:color w:val="6E6158"/>
        </w:rPr>
        <w:t>planning. His transactional practice is centered on seller-side M&amp;A representation, where he</w:t>
      </w:r>
      <w:r>
        <w:rPr>
          <w:color w:val="6E6158"/>
          <w:spacing w:val="40"/>
        </w:rPr>
        <w:t> </w:t>
      </w:r>
      <w:r>
        <w:rPr>
          <w:color w:val="6E6158"/>
        </w:rPr>
        <w:t>guides clients through the complexities of selling their businesses, from strategic preparation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due</w:t>
      </w:r>
      <w:r>
        <w:rPr>
          <w:color w:val="6E6158"/>
          <w:spacing w:val="40"/>
        </w:rPr>
        <w:t> </w:t>
      </w:r>
      <w:r>
        <w:rPr>
          <w:color w:val="6E6158"/>
        </w:rPr>
        <w:t>diligence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negotiation,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structuring,</w:t>
      </w:r>
      <w:r>
        <w:rPr>
          <w:color w:val="6E6158"/>
          <w:spacing w:val="40"/>
        </w:rPr>
        <w:t> </w:t>
      </w:r>
      <w:r>
        <w:rPr>
          <w:color w:val="6E6158"/>
        </w:rPr>
        <w:t>closing,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post-closing</w:t>
      </w:r>
      <w:r>
        <w:rPr>
          <w:color w:val="6E6158"/>
          <w:spacing w:val="40"/>
        </w:rPr>
        <w:t> </w:t>
      </w:r>
      <w:r>
        <w:rPr>
          <w:color w:val="6E6158"/>
        </w:rPr>
        <w:t>transitions.</w:t>
      </w:r>
    </w:p>
    <w:p>
      <w:pPr>
        <w:pStyle w:val="BodyText"/>
        <w:spacing w:before="188"/>
        <w:ind w:left="99"/>
      </w:pPr>
      <w:r>
        <w:rPr>
          <w:color w:val="6E6158"/>
        </w:rPr>
        <w:t>Nick’s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span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spectrum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4"/>
        </w:rPr>
        <w:t> </w:t>
      </w:r>
      <w:r>
        <w:rPr>
          <w:color w:val="6E6158"/>
        </w:rPr>
        <w:t>services,</w:t>
      </w:r>
      <w:r>
        <w:rPr>
          <w:color w:val="6E6158"/>
          <w:spacing w:val="13"/>
        </w:rPr>
        <w:t> </w:t>
      </w:r>
      <w:r>
        <w:rPr>
          <w:color w:val="6E6158"/>
        </w:rPr>
        <w:t>software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391"/>
      </w:pPr>
      <w:r>
        <w:rPr>
          <w:color w:val="6E6158"/>
        </w:rPr>
        <w:t>technology, construction, manufacturing, distribution, retail, and real estate. Known for his </w:t>
      </w:r>
      <w:r>
        <w:rPr>
          <w:color w:val="6E6158"/>
        </w:rPr>
        <w:t>clear</w:t>
      </w:r>
      <w:r>
        <w:rPr>
          <w:color w:val="6E6158"/>
          <w:spacing w:val="40"/>
        </w:rPr>
        <w:t> </w:t>
      </w:r>
      <w:r>
        <w:rPr>
          <w:color w:val="6E6158"/>
        </w:rPr>
        <w:t>and practical guidance, Nick helps business owners navigate high-stakes transactions while</w:t>
      </w:r>
      <w:r>
        <w:rPr>
          <w:color w:val="6E6158"/>
          <w:spacing w:val="40"/>
        </w:rPr>
        <w:t> </w:t>
      </w:r>
      <w:r>
        <w:rPr>
          <w:color w:val="6E6158"/>
        </w:rPr>
        <w:t>aligning deal structures with their long-term financial and legacy goals.</w:t>
      </w:r>
    </w:p>
    <w:p>
      <w:pPr>
        <w:pStyle w:val="BodyText"/>
        <w:spacing w:line="295" w:lineRule="auto" w:before="191"/>
        <w:ind w:left="99" w:right="254"/>
      </w:pPr>
      <w:r>
        <w:rPr>
          <w:color w:val="6E6158"/>
        </w:rPr>
        <w:t>Beyond M&amp;A, Nick maintains a robust trusts and estates practice, often serving business owners</w:t>
      </w:r>
      <w:r>
        <w:rPr>
          <w:color w:val="6E6158"/>
          <w:spacing w:val="40"/>
        </w:rPr>
        <w:t> </w:t>
      </w:r>
      <w:r>
        <w:rPr>
          <w:color w:val="6E6158"/>
        </w:rPr>
        <w:t>and multi-generational families whose estate planning needs intersect with business </w:t>
      </w:r>
      <w:r>
        <w:rPr>
          <w:color w:val="6E6158"/>
        </w:rPr>
        <w:t>succession.</w:t>
      </w:r>
      <w:r>
        <w:rPr>
          <w:color w:val="6E6158"/>
          <w:spacing w:val="40"/>
        </w:rPr>
        <w:t> </w:t>
      </w:r>
      <w:r>
        <w:rPr>
          <w:color w:val="6E6158"/>
        </w:rPr>
        <w:t>He designs comprehensive wealth transfer strategies that preserve legacy while achieving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5" w:lineRule="auto" w:before="196"/>
        <w:ind w:left="99" w:right="168"/>
      </w:pPr>
      <w:r>
        <w:rPr>
          <w:color w:val="6E6158"/>
        </w:rPr>
        <w:t>Nick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serves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privately</w:t>
      </w:r>
      <w:r>
        <w:rPr>
          <w:color w:val="6E6158"/>
          <w:spacing w:val="27"/>
        </w:rPr>
        <w:t> </w:t>
      </w:r>
      <w:r>
        <w:rPr>
          <w:color w:val="6E6158"/>
        </w:rPr>
        <w:t>held</w:t>
      </w:r>
      <w:r>
        <w:rPr>
          <w:color w:val="6E6158"/>
          <w:spacing w:val="27"/>
        </w:rPr>
        <w:t> </w:t>
      </w:r>
      <w:r>
        <w:rPr>
          <w:color w:val="6E6158"/>
        </w:rPr>
        <w:t>businesses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nonprofits,</w:t>
      </w:r>
      <w:r>
        <w:rPr>
          <w:color w:val="6E6158"/>
          <w:spacing w:val="27"/>
        </w:rPr>
        <w:t> </w:t>
      </w:r>
      <w:r>
        <w:rPr>
          <w:color w:val="6E6158"/>
        </w:rPr>
        <w:t>advising on entity formation, corporate governance, operational matters, and reorganizations. His</w:t>
      </w:r>
      <w:r>
        <w:rPr>
          <w:color w:val="6E6158"/>
          <w:spacing w:val="40"/>
        </w:rPr>
        <w:t> </w:t>
      </w:r>
      <w:r>
        <w:rPr>
          <w:color w:val="6E6158"/>
        </w:rPr>
        <w:t>background in tax law, supported by an LL.M. in taxation, enables him to integrate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planning into transactional and exit strategies, ensuring clients optimize outcomes and</w:t>
      </w:r>
      <w:r>
        <w:rPr>
          <w:color w:val="6E6158"/>
          <w:spacing w:val="80"/>
        </w:rPr>
        <w:t> </w:t>
      </w:r>
      <w:r>
        <w:rPr>
          <w:color w:val="6E6158"/>
        </w:rPr>
        <w:t>minimize tax burdens.</w:t>
      </w:r>
    </w:p>
    <w:p>
      <w:pPr>
        <w:pStyle w:val="BodyText"/>
        <w:spacing w:line="302" w:lineRule="auto" w:before="195"/>
        <w:ind w:left="99" w:right="391"/>
      </w:pPr>
      <w:r>
        <w:rPr>
          <w:color w:val="6E6158"/>
        </w:rPr>
        <w:t>In addition, Nick represents clients in tax disputes before the Colorado Department of </w:t>
      </w:r>
      <w:r>
        <w:rPr>
          <w:color w:val="6E6158"/>
        </w:rPr>
        <w:t>Revenue,</w:t>
      </w:r>
      <w:r>
        <w:rPr>
          <w:color w:val="6E6158"/>
          <w:spacing w:val="40"/>
        </w:rPr>
        <w:t> </w:t>
      </w:r>
      <w:r>
        <w:rPr>
          <w:color w:val="6E6158"/>
        </w:rPr>
        <w:t>the Internal Revenue Service, and the U.S. Tax Court.</w:t>
      </w:r>
    </w:p>
    <w:p>
      <w:pPr>
        <w:pStyle w:val="BodyText"/>
        <w:spacing w:line="292" w:lineRule="auto" w:before="186"/>
        <w:ind w:left="99" w:right="391"/>
      </w:pPr>
      <w:r>
        <w:rPr>
          <w:color w:val="6E6158"/>
        </w:rPr>
        <w:t>When not practicing law, Nick enjoys golf, running, traveling, reading about history, </w:t>
      </w:r>
      <w:r>
        <w:rPr>
          <w:color w:val="6E6158"/>
        </w:rPr>
        <w:t>and watching sports.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5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157649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348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092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Taxation, University of </w:t>
      </w:r>
      <w:r>
        <w:rPr>
          <w:color w:val="6E6158"/>
        </w:rPr>
        <w:t>Denver J.D., University of Denver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Duke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688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82"/>
        <w:ind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35pt;width:1.65pt;height:1.65pt;mso-position-horizontal-relative:page;mso-position-vertical-relative:paragraph;z-index:15731200" id="docshape15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438727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5444pt;width:1.65pt;height:1.65pt;mso-position-horizontal-relative:page;mso-position-vertical-relative:paragraph;z-index:15731712" id="docshape16" coordorigin="1670,691" coordsize="33,33" path="m1691,723l1682,723,1678,722,1671,716,1670,712,1670,703,1671,699,1678,692,1682,691,1691,691,1694,692,1701,699,1702,703,1702,707,1702,712,1701,716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Mergers &amp; Acquisitions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25pt;width:1.65pt;height:1.65pt;mso-position-horizontal-relative:page;mso-position-vertical-relative:paragraph;z-index:15732224" id="docshape1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739pt;width:1.65pt;height:1.65pt;mso-position-horizontal-relative:page;mso-position-vertical-relative:paragraph;z-index:15732736" id="docshape1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433596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1487pt;width:1.65pt;height:1.65pt;mso-position-horizontal-relative:page;mso-position-vertical-relative:paragraph;z-index:15733248" id="docshape19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60023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6281pt;width:1.65pt;height:1.65pt;mso-position-horizontal-relative:page;mso-position-vertical-relative:paragraph;z-index:15733760" id="docshape20" coordorigin="1670,95" coordsize="33,33" path="m1691,127l1682,127,1678,125,1671,119,1670,115,1670,106,1671,102,1678,96,1682,95,1691,95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302" w:lineRule="auto" w:before="147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250831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054pt;width:1.65pt;height:1.65pt;mso-position-horizontal-relative:page;mso-position-vertical-relative:paragraph;z-index:15734272" id="docshape21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a variety of investment funds through all phases of fund lifecycles, from structure,</w:t>
      </w:r>
      <w:r>
        <w:rPr>
          <w:color w:val="6E6158"/>
          <w:spacing w:val="40"/>
        </w:rPr>
        <w:t> </w:t>
      </w:r>
      <w:r>
        <w:rPr>
          <w:color w:val="6E6158"/>
        </w:rPr>
        <w:t>to formation, to investment, to liquidation.</w:t>
      </w:r>
    </w:p>
    <w:p>
      <w:pPr>
        <w:pStyle w:val="BodyText"/>
        <w:spacing w:before="112"/>
      </w:pPr>
      <w:hyperlink r:id="rId11">
        <w:r>
          <w:rPr>
            <w:color w:val="F5821F"/>
          </w:rPr>
          <w:t>Served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exclusive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advisor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CFO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Project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acquisition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Broadtree</w:t>
        </w:r>
      </w:hyperlink>
    </w:p>
    <w:p>
      <w:pPr>
        <w:pStyle w:val="BodyText"/>
        <w:spacing w:line="292" w:lineRule="auto" w:before="5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97901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8771pt;width:1.65pt;height:1.65pt;mso-position-horizontal-relative:page;mso-position-vertical-relative:paragraph;z-index:15734784" id="docshape22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Partners, supporting its goal to expand its community as the demand for business </w:t>
        </w:r>
        <w:r>
          <w:rPr>
            <w:color w:val="F5821F"/>
          </w:rPr>
          <w:t>finance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expertise continues to grow.</w:t>
        </w:r>
      </w:hyperlink>
    </w:p>
    <w:p>
      <w:pPr>
        <w:pStyle w:val="BodyText"/>
        <w:spacing w:line="292" w:lineRule="auto" w:before="132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236175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66pt;width:1.65pt;height:1.65pt;mso-position-horizontal-relative:page;mso-position-vertical-relative:paragraph;z-index:15735296" id="docshape23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Represented Argus Professional Storage Management, LLC in its combination with </w:t>
        </w:r>
        <w:r>
          <w:rPr>
            <w:color w:val="F5821F"/>
          </w:rPr>
          <w:t>SmartStop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Self Storage REIT, Inc. (NYSE: SMA).</w:t>
        </w:r>
      </w:hyperlink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230637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467pt;width:1.65pt;height:1.65pt;mso-position-horizontal-relative:page;mso-position-vertical-relative:paragraph;z-index:15735808" id="docshape2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L&amp;R Pallet Service, Inc. in a $30 million asset purchase and sale of its business to</w:t>
      </w:r>
      <w:r>
        <w:rPr>
          <w:color w:val="6E6158"/>
          <w:spacing w:val="40"/>
        </w:rPr>
        <w:t> </w:t>
      </w:r>
      <w:r>
        <w:rPr>
          <w:color w:val="6E6158"/>
        </w:rPr>
        <w:t>Kamps, Inc.</w:t>
      </w:r>
    </w:p>
    <w:p>
      <w:pPr>
        <w:pStyle w:val="BodyText"/>
        <w:spacing w:line="292" w:lineRule="auto" w:before="13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235982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324pt;width:1.65pt;height:1.65pt;mso-position-horizontal-relative:page;mso-position-vertical-relative:paragraph;z-index:15736320" id="docshape2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Colorado Premier Restoration, Inc. in a $47.5 million asset purchase and sale of</w:t>
      </w:r>
      <w:r>
        <w:rPr>
          <w:color w:val="6E6158"/>
          <w:spacing w:val="80"/>
        </w:rPr>
        <w:t> </w:t>
      </w:r>
      <w:r>
        <w:rPr>
          <w:color w:val="6E6158"/>
        </w:rPr>
        <w:t>its business to BMS CAT of Colorado, LLC.</w:t>
      </w:r>
    </w:p>
    <w:p>
      <w:pPr>
        <w:pStyle w:val="BodyText"/>
        <w:spacing w:line="302" w:lineRule="auto" w:before="12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236246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06pt;width:1.65pt;height:1.65pt;mso-position-horizontal-relative:page;mso-position-vertical-relative:paragraph;z-index:1573683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Tri County Fire Protection, Inc. in a $10 million asset purchase and sale of its business to Pye-Barker Fire &amp; Safety, LLC.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223955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295pt;width:1.65pt;height:1.65pt;mso-position-horizontal-relative:page;mso-position-vertical-relative:paragraph;z-index:15737344" id="docshape2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national professional sports league regarding tax implications and cross-border legal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expansion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league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Canada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Toronto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2"/>
        </w:rPr>
        <w:t> </w:t>
      </w:r>
      <w:r>
        <w:rPr>
          <w:color w:val="6E6158"/>
        </w:rPr>
        <w:t>team.</w:t>
      </w:r>
    </w:p>
    <w:p>
      <w:pPr>
        <w:pStyle w:val="BodyText"/>
        <w:spacing w:line="302" w:lineRule="auto" w:before="124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236285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173pt;width:1.65pt;height:1.65pt;mso-position-horizontal-relative:page;mso-position-vertical-relative:paragraph;z-index:15737856" id="docshape2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one of the top five largest construction companies in Colorado.</w:t>
      </w:r>
    </w:p>
    <w:p>
      <w:pPr>
        <w:pStyle w:val="BodyText"/>
        <w:spacing w:line="292" w:lineRule="auto" w:before="11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223993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266pt;width:1.65pt;height:1.65pt;mso-position-horizontal-relative:page;mso-position-vertical-relative:paragraph;z-index:15738368" id="docshape2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automotive dealership group that</w:t>
      </w:r>
      <w:r>
        <w:rPr>
          <w:color w:val="6E6158"/>
          <w:spacing w:val="40"/>
        </w:rPr>
        <w:t> </w:t>
      </w:r>
      <w:r>
        <w:rPr>
          <w:color w:val="6E6158"/>
        </w:rPr>
        <w:t>has been in business in Colorado for 100 years.</w:t>
      </w:r>
    </w:p>
    <w:p>
      <w:pPr>
        <w:pStyle w:val="BodyText"/>
        <w:spacing w:line="302" w:lineRule="auto" w:before="123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235688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121pt;width:1.65pt;height:1.65pt;mso-position-horizontal-relative:page;mso-position-vertical-relative:paragraph;z-index:15738880" id="docshape3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numerous high net worth (excess of $50 million) individuals and families </w:t>
      </w:r>
      <w:r>
        <w:rPr>
          <w:color w:val="6E6158"/>
        </w:rPr>
        <w:t>with complex and comprehensive estate and tax planning.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168059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3011pt;width:1.65pt;height:1.65pt;mso-position-horizontal-relative:page;mso-position-vertical-relative:paragraph;z-index:15739392" id="docshape31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173881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1475pt;width:1.65pt;height:1.65pt;mso-position-horizontal-relative:page;mso-position-vertical-relative:paragraph;z-index:15739904" id="docshape32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2021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152660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498pt;width:1.65pt;height:1.65pt;mso-position-horizontal-relative:page;mso-position-vertical-relative:paragraph;z-index:15740416" id="docshape3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416194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187pt;width:1.65pt;height:1.65pt;mso-position-horizontal-relative:page;mso-position-vertical-relative:paragraph;z-index:15740928" id="docshape3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Tax Section, Executive Council </w:t>
      </w:r>
      <w:r>
        <w:rPr>
          <w:color w:val="6E6158"/>
        </w:rPr>
        <w:t>Member Denver Estate Planning Council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1952" id="docshape3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TaxForward (formerly Future Tax </w:t>
      </w:r>
      <w:r>
        <w:rPr>
          <w:color w:val="6E6158"/>
        </w:rPr>
        <w:t>Leaders) The Exiter Club</w:t>
      </w:r>
    </w:p>
    <w:p>
      <w:pPr>
        <w:pStyle w:val="Heading1"/>
        <w:spacing w:before="4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152696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321pt;width:1.65pt;height:1.65pt;mso-position-horizontal-relative:page;mso-position-vertical-relative:paragraph;z-index:15742464" id="docshape3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26pt;width:1.65pt;height:1.65pt;mso-position-horizontal-relative:page;mso-position-vertical-relative:paragraph;z-index:15742976" id="docshape38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thompson@fennemorelaw.com" TargetMode="External"/><Relationship Id="rId11" Type="http://schemas.openxmlformats.org/officeDocument/2006/relationships/hyperlink" Target="https://www.fennemorelaw.com/fennemore-represents-the-cfo-project-in-significant-business-sale/" TargetMode="External"/><Relationship Id="rId12" Type="http://schemas.openxmlformats.org/officeDocument/2006/relationships/hyperlink" Target="https://www.fennemorelaw.com/fennemore-represents-argus-professional-storage-management-in-a-significant-contribution-agreement/" TargetMode="External"/><Relationship Id="rId13" Type="http://schemas.openxmlformats.org/officeDocument/2006/relationships/hyperlink" Target="https://profiles.superlawyers.com/colorado/denver/lawyer/nicholas-hager-thompson/d69415ab-fe8d-4c8e-b2c7-df2324ac3073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H. Thompson - Fennemore</dc:title>
  <dcterms:created xsi:type="dcterms:W3CDTF">2025-12-11T01:59:48Z</dcterms:created>
  <dcterms:modified xsi:type="dcterms:W3CDTF">2025-12-11T01:59:48Z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m142</vt:lpwstr>
  </property>
</Properties>
</file>